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cs="Times New Roman"/>
          <w:sz w:val="32"/>
          <w:szCs w:val="32"/>
        </w:rPr>
      </w:pPr>
      <w:r>
        <w:rPr>
          <w:rFonts w:cs="Times New Roman" w:ascii="Times New Roman" w:hAnsi="Times New Roman"/>
          <w:sz w:val="32"/>
          <w:szCs w:val="32"/>
        </w:rPr>
        <w:t xml:space="preserve">RELAZIONE ANIMATORE DIGITALE </w:t>
      </w:r>
    </w:p>
    <w:p>
      <w:pPr>
        <w:pStyle w:val="Normal"/>
        <w:jc w:val="center"/>
        <w:rPr>
          <w:rFonts w:ascii="Times New Roman" w:hAnsi="Times New Roman" w:cs="Times New Roman"/>
          <w:sz w:val="32"/>
          <w:szCs w:val="32"/>
        </w:rPr>
      </w:pPr>
      <w:r>
        <w:rPr>
          <w:rFonts w:cs="Times New Roman" w:ascii="Times New Roman" w:hAnsi="Times New Roman"/>
          <w:sz w:val="32"/>
          <w:szCs w:val="32"/>
        </w:rPr>
        <w:t>RELAZIONE PROGETTO DIGILEARNING DM  66/2023</w:t>
      </w:r>
    </w:p>
    <w:p>
      <w:pPr>
        <w:pStyle w:val="Normal"/>
        <w:jc w:val="both"/>
        <w:rPr>
          <w:rFonts w:ascii="Times New Roman" w:hAnsi="Times New Roman" w:cs="Times New Roman"/>
          <w:sz w:val="24"/>
          <w:szCs w:val="24"/>
        </w:rPr>
      </w:pPr>
      <w:r>
        <w:rPr>
          <w:rFonts w:cs="Times New Roman" w:ascii="Times New Roman" w:hAnsi="Times New Roman"/>
          <w:sz w:val="24"/>
          <w:szCs w:val="24"/>
        </w:rPr>
        <w:t>L’anno scolastico 202</w:t>
      </w:r>
      <w:r>
        <w:rPr>
          <w:rFonts w:cs="Times New Roman" w:ascii="Times New Roman" w:hAnsi="Times New Roman"/>
          <w:sz w:val="24"/>
          <w:szCs w:val="24"/>
        </w:rPr>
        <w:t>4</w:t>
      </w:r>
      <w:r>
        <w:rPr>
          <w:rFonts w:cs="Times New Roman" w:ascii="Times New Roman" w:hAnsi="Times New Roman"/>
          <w:sz w:val="24"/>
          <w:szCs w:val="24"/>
        </w:rPr>
        <w:t>/202</w:t>
      </w:r>
      <w:r>
        <w:rPr>
          <w:rFonts w:cs="Times New Roman" w:ascii="Times New Roman" w:hAnsi="Times New Roman"/>
          <w:sz w:val="24"/>
          <w:szCs w:val="24"/>
        </w:rPr>
        <w:t>5</w:t>
      </w:r>
      <w:r>
        <w:rPr>
          <w:rFonts w:cs="Times New Roman" w:ascii="Times New Roman" w:hAnsi="Times New Roman"/>
          <w:sz w:val="24"/>
          <w:szCs w:val="24"/>
        </w:rPr>
        <w:t xml:space="preserve"> è stato un anno </w:t>
      </w:r>
      <w:r>
        <w:rPr>
          <w:rFonts w:cs="Times New Roman" w:ascii="Times New Roman" w:hAnsi="Times New Roman"/>
          <w:sz w:val="24"/>
          <w:szCs w:val="24"/>
        </w:rPr>
        <w:t xml:space="preserve">molto stimolante e intenso riguardo gli sviluppi delle attività inerenti il mondo digitale della nostra scuola. </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Le attività hanno avuto inizio già nel mese di giugno 2024, grazie a una serie di corsi finanziati con i fondi destinati alla formazione </w:t>
      </w:r>
      <w:r>
        <w:rPr>
          <w:rFonts w:cs="Times New Roman" w:ascii="Times New Roman" w:hAnsi="Times New Roman"/>
          <w:sz w:val="24"/>
          <w:szCs w:val="24"/>
        </w:rPr>
        <w:t xml:space="preserve">del personale interno da parte </w:t>
      </w:r>
      <w:r>
        <w:rPr>
          <w:rFonts w:cs="Times New Roman" w:ascii="Times New Roman" w:hAnsi="Times New Roman"/>
          <w:sz w:val="24"/>
          <w:szCs w:val="24"/>
        </w:rPr>
        <w:t xml:space="preserve">degli animatori digitali. Da questi primi interventi ha preso avvio un ciclo di incontri in presenza che ha coinvolto numerosi docenti, introducendoli all’utilizzo di applicazioni digitali per la creazione di contenuti didattici, alla gamification come strategia per aumentare il coinvolgimento degli studenti e, in particolare, a un primo modulo dedicato all’intelligenza artificiale. Quest’ultimo ha offerto ai partecipanti l’opportunità di comprenderne i principi di funzionamento, le basi tecnico-scientifiche e le possibili applicazioni nel contesto educativo. </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Questo lavoro è stato ampiamente </w:t>
      </w:r>
      <w:r>
        <w:rPr>
          <w:rFonts w:cs="Times New Roman" w:ascii="Times New Roman" w:hAnsi="Times New Roman"/>
          <w:sz w:val="24"/>
          <w:szCs w:val="24"/>
        </w:rPr>
        <w:t xml:space="preserve">approfondito grazie all’attuazione del DM 66/2023 provvedimento del Ministero dell'Istruzione e del Merito per la formazione del personale scolastico sulla transizione digitale, nell'ambito della Missione 4, Componente 1 del Piano Nazionale di Ripresa e Resilienza (PNRR). </w:t>
      </w:r>
    </w:p>
    <w:p>
      <w:pPr>
        <w:pStyle w:val="Normal"/>
        <w:jc w:val="both"/>
        <w:rPr>
          <w:rFonts w:ascii="Times New Roman" w:hAnsi="Times New Roman" w:cs="Times New Roman"/>
          <w:sz w:val="24"/>
          <w:szCs w:val="24"/>
        </w:rPr>
      </w:pPr>
      <w:r>
        <w:rPr>
          <w:rFonts w:cs="Times New Roman" w:ascii="Times New Roman" w:hAnsi="Times New Roman"/>
          <w:sz w:val="24"/>
          <w:szCs w:val="24"/>
        </w:rPr>
        <w:t>Il DM 66/2023 mira a sviluppare un sistema di formazione continua per il personale scolastico.  I percorsi formativi sono stati articolati in  tre principali tipologie:</w:t>
      </w:r>
    </w:p>
    <w:p>
      <w:pPr>
        <w:pStyle w:val="Corpodeltesto"/>
        <w:numPr>
          <w:ilvl w:val="0"/>
          <w:numId w:val="1"/>
        </w:numPr>
        <w:tabs>
          <w:tab w:val="clear" w:pos="708"/>
          <w:tab w:val="left" w:pos="0" w:leader="none"/>
        </w:tabs>
        <w:ind w:left="707" w:hanging="283"/>
        <w:rPr>
          <w:rFonts w:ascii="Times New Roman" w:hAnsi="Times New Roman" w:cs="Times New Roman"/>
          <w:sz w:val="24"/>
          <w:szCs w:val="24"/>
        </w:rPr>
      </w:pPr>
      <w:r>
        <w:rPr>
          <w:rStyle w:val="Enfasiforte"/>
        </w:rPr>
        <w:t>Percorsi di formazione sulla transizione digitale</w:t>
      </w:r>
    </w:p>
    <w:p>
      <w:pPr>
        <w:pStyle w:val="Corpodeltesto"/>
        <w:numPr>
          <w:ilvl w:val="0"/>
          <w:numId w:val="1"/>
        </w:numPr>
        <w:tabs>
          <w:tab w:val="clear" w:pos="708"/>
          <w:tab w:val="left" w:pos="0" w:leader="none"/>
        </w:tabs>
        <w:ind w:left="707" w:hanging="283"/>
        <w:rPr>
          <w:rFonts w:ascii="Times New Roman" w:hAnsi="Times New Roman" w:cs="Times New Roman"/>
          <w:sz w:val="24"/>
          <w:szCs w:val="24"/>
        </w:rPr>
      </w:pPr>
      <w:r>
        <w:rPr>
          <w:rStyle w:val="Enfasiforte"/>
        </w:rPr>
        <w:t>Laboratori di formazione sul campo</w:t>
      </w:r>
    </w:p>
    <w:p>
      <w:pPr>
        <w:pStyle w:val="Corpodeltesto"/>
        <w:numPr>
          <w:ilvl w:val="0"/>
          <w:numId w:val="1"/>
        </w:numPr>
        <w:tabs>
          <w:tab w:val="clear" w:pos="708"/>
          <w:tab w:val="left" w:pos="0" w:leader="none"/>
        </w:tabs>
        <w:ind w:left="707" w:hanging="283"/>
        <w:rPr>
          <w:rFonts w:ascii="Times New Roman" w:hAnsi="Times New Roman" w:cs="Times New Roman"/>
          <w:sz w:val="24"/>
          <w:szCs w:val="24"/>
        </w:rPr>
      </w:pPr>
      <w:r>
        <w:rPr>
          <w:rStyle w:val="Enfasiforte"/>
        </w:rPr>
        <w:t>Comunità di pratiche per l'apprendimento</w:t>
      </w:r>
    </w:p>
    <w:p>
      <w:pPr>
        <w:pStyle w:val="Titolo3"/>
        <w:rPr/>
      </w:pPr>
      <w:r>
        <w:rPr>
          <w:rStyle w:val="Enfasiforte"/>
          <w:rFonts w:ascii="Times New Roman" w:hAnsi="Times New Roman"/>
          <w:b w:val="false"/>
          <w:bCs w:val="false"/>
          <w:sz w:val="24"/>
          <w:szCs w:val="24"/>
        </w:rPr>
        <w:t>Gli obietti principali del decreto sono</w:t>
      </w:r>
    </w:p>
    <w:p>
      <w:pPr>
        <w:pStyle w:val="Corpodeltesto"/>
        <w:numPr>
          <w:ilvl w:val="0"/>
          <w:numId w:val="2"/>
        </w:numPr>
        <w:tabs>
          <w:tab w:val="clear" w:pos="708"/>
          <w:tab w:val="left" w:pos="0" w:leader="none"/>
        </w:tabs>
        <w:ind w:left="707" w:hanging="283"/>
        <w:rPr>
          <w:rFonts w:ascii="Times New Roman" w:hAnsi="Times New Roman" w:cs="Times New Roman"/>
          <w:sz w:val="24"/>
          <w:szCs w:val="24"/>
        </w:rPr>
      </w:pPr>
      <w:r>
        <w:rPr>
          <w:rStyle w:val="Enfasiforte"/>
        </w:rPr>
        <w:t>Promuovere la cultura digitale nel sistema scolastico</w:t>
      </w:r>
    </w:p>
    <w:p>
      <w:pPr>
        <w:pStyle w:val="Corpodeltesto"/>
        <w:numPr>
          <w:ilvl w:val="0"/>
          <w:numId w:val="2"/>
        </w:numPr>
        <w:tabs>
          <w:tab w:val="clear" w:pos="708"/>
          <w:tab w:val="left" w:pos="0" w:leader="none"/>
        </w:tabs>
        <w:ind w:left="707" w:hanging="283"/>
        <w:rPr>
          <w:rFonts w:ascii="Times New Roman" w:hAnsi="Times New Roman" w:cs="Times New Roman"/>
          <w:sz w:val="24"/>
          <w:szCs w:val="24"/>
        </w:rPr>
      </w:pPr>
      <w:r>
        <w:rPr>
          <w:rStyle w:val="Enfasiforte"/>
        </w:rPr>
        <w:t>Sviluppare competenze digitali coerenti con gli standard europei</w:t>
      </w:r>
    </w:p>
    <w:p>
      <w:pPr>
        <w:pStyle w:val="Corpodeltesto"/>
        <w:numPr>
          <w:ilvl w:val="0"/>
          <w:numId w:val="2"/>
        </w:numPr>
        <w:tabs>
          <w:tab w:val="clear" w:pos="708"/>
          <w:tab w:val="left" w:pos="0" w:leader="none"/>
        </w:tabs>
        <w:ind w:left="707" w:hanging="283"/>
        <w:rPr>
          <w:rFonts w:ascii="Times New Roman" w:hAnsi="Times New Roman" w:cs="Times New Roman"/>
          <w:sz w:val="24"/>
          <w:szCs w:val="24"/>
        </w:rPr>
      </w:pPr>
      <w:r>
        <w:rPr>
          <w:rStyle w:val="Enfasiforte"/>
        </w:rPr>
        <w:t>Sostenere la didattica innovativa e personalizzata</w:t>
      </w:r>
    </w:p>
    <w:p>
      <w:pPr>
        <w:pStyle w:val="Corpodeltesto"/>
        <w:numPr>
          <w:ilvl w:val="0"/>
          <w:numId w:val="2"/>
        </w:numPr>
        <w:tabs>
          <w:tab w:val="clear" w:pos="708"/>
          <w:tab w:val="left" w:pos="0" w:leader="none"/>
        </w:tabs>
        <w:ind w:left="707" w:hanging="283"/>
        <w:rPr>
          <w:rFonts w:ascii="Times New Roman" w:hAnsi="Times New Roman" w:cs="Times New Roman"/>
          <w:sz w:val="24"/>
          <w:szCs w:val="24"/>
        </w:rPr>
      </w:pPr>
      <w:r>
        <w:rPr>
          <w:rStyle w:val="Enfasiforte"/>
        </w:rPr>
        <w:t>Rafforzare la capacità di gestione delle risorse digitali e degli ambienti di apprendimento</w:t>
      </w:r>
    </w:p>
    <w:p>
      <w:pPr>
        <w:pStyle w:val="Corpodeltesto"/>
        <w:numPr>
          <w:ilvl w:val="0"/>
          <w:numId w:val="2"/>
        </w:numPr>
        <w:tabs>
          <w:tab w:val="clear" w:pos="708"/>
          <w:tab w:val="left" w:pos="0" w:leader="none"/>
        </w:tabs>
        <w:ind w:left="707" w:hanging="283"/>
        <w:rPr>
          <w:rFonts w:ascii="Times New Roman" w:hAnsi="Times New Roman" w:cs="Times New Roman"/>
          <w:sz w:val="24"/>
          <w:szCs w:val="24"/>
        </w:rPr>
      </w:pPr>
      <w:r>
        <w:rPr>
          <w:rStyle w:val="Enfasiforte"/>
        </w:rPr>
        <w:t>Incentivare la diffusione di una cultura della formazione continua e del lavoro collaborativo</w:t>
      </w:r>
    </w:p>
    <w:p>
      <w:pPr>
        <w:pStyle w:val="Corpodeltesto"/>
        <w:numPr>
          <w:ilvl w:val="0"/>
          <w:numId w:val="2"/>
        </w:numPr>
        <w:tabs>
          <w:tab w:val="clear" w:pos="708"/>
          <w:tab w:val="left" w:pos="0" w:leader="none"/>
        </w:tabs>
        <w:ind w:left="707" w:hanging="283"/>
        <w:rPr>
          <w:rFonts w:ascii="Times New Roman" w:hAnsi="Times New Roman" w:cs="Times New Roman"/>
          <w:sz w:val="24"/>
          <w:szCs w:val="24"/>
        </w:rPr>
      </w:pPr>
      <w:r>
        <w:rPr>
          <w:rStyle w:val="Enfasiforte"/>
        </w:rPr>
        <w:t>Favorire l’innovazione organizzativa e amministrativa delle scuole</w:t>
      </w:r>
    </w:p>
    <w:p>
      <w:pPr>
        <w:pStyle w:val="Corpodeltesto"/>
        <w:rPr>
          <w:rFonts w:ascii="Times New Roman" w:hAnsi="Times New Roman"/>
        </w:rPr>
      </w:pPr>
      <w:r>
        <w:rPr>
          <w:rFonts w:ascii="Times New Roman" w:hAnsi="Times New Roman"/>
        </w:rPr>
      </w:r>
    </w:p>
    <w:p>
      <w:pPr>
        <w:pStyle w:val="Corpodeltesto"/>
        <w:rPr/>
      </w:pPr>
      <w:r>
        <w:rPr>
          <w:rFonts w:ascii="Times New Roman" w:hAnsi="Times New Roman"/>
          <w:sz w:val="24"/>
          <w:szCs w:val="24"/>
        </w:rPr>
        <w:t xml:space="preserve">Il nostro percorso di realizzazione dell’investimento dei fondi del decreto è cominciato con la formazione in presenza del personale docente sull’uso dei visori acquistati con il PNRR </w:t>
      </w:r>
      <w:r>
        <w:rPr>
          <w:rStyle w:val="Enfasi"/>
          <w:rFonts w:ascii="Times New Roman" w:hAnsi="Times New Roman"/>
          <w:b w:val="false"/>
          <w:i w:val="false"/>
          <w:caps w:val="false"/>
          <w:smallCaps w:val="false"/>
          <w:color w:val="000000"/>
          <w:spacing w:val="0"/>
          <w:sz w:val="24"/>
          <w:szCs w:val="24"/>
        </w:rPr>
        <w:t xml:space="preserve">Next </w:t>
      </w:r>
      <w:r>
        <w:rPr>
          <w:rStyle w:val="Enfasi"/>
          <w:rFonts w:ascii="Times New Roman" w:hAnsi="Times New Roman"/>
          <w:b w:val="false"/>
          <w:i w:val="false"/>
          <w:caps w:val="false"/>
          <w:smallCaps w:val="false"/>
          <w:color w:val="000000"/>
          <w:spacing w:val="0"/>
          <w:sz w:val="24"/>
          <w:szCs w:val="24"/>
        </w:rPr>
        <w:t>G</w:t>
      </w:r>
      <w:r>
        <w:rPr>
          <w:rStyle w:val="Enfasi"/>
          <w:rFonts w:ascii="Times New Roman" w:hAnsi="Times New Roman"/>
          <w:b w:val="false"/>
          <w:i w:val="false"/>
          <w:caps w:val="false"/>
          <w:smallCaps w:val="false"/>
          <w:color w:val="000000"/>
          <w:spacing w:val="0"/>
          <w:sz w:val="24"/>
          <w:szCs w:val="24"/>
        </w:rPr>
        <w:t xml:space="preserve">eneration </w:t>
      </w:r>
      <w:r>
        <w:rPr>
          <w:rStyle w:val="Enfasi"/>
          <w:rFonts w:ascii="Times New Roman" w:hAnsi="Times New Roman"/>
          <w:b w:val="false"/>
          <w:i w:val="false"/>
          <w:caps w:val="false"/>
          <w:smallCaps w:val="false"/>
          <w:color w:val="000000"/>
          <w:spacing w:val="0"/>
          <w:sz w:val="24"/>
          <w:szCs w:val="24"/>
        </w:rPr>
        <w:t>C</w:t>
      </w:r>
      <w:r>
        <w:rPr>
          <w:rStyle w:val="Enfasi"/>
          <w:rFonts w:ascii="Times New Roman" w:hAnsi="Times New Roman"/>
          <w:b w:val="false"/>
          <w:i w:val="false"/>
          <w:caps w:val="false"/>
          <w:smallCaps w:val="false"/>
          <w:color w:val="000000"/>
          <w:spacing w:val="0"/>
          <w:sz w:val="24"/>
          <w:szCs w:val="24"/>
        </w:rPr>
        <w:t xml:space="preserve">lassrooms del Piano “Scuola 4.0”. </w:t>
      </w:r>
    </w:p>
    <w:p>
      <w:pPr>
        <w:pStyle w:val="Corpodeltesto"/>
        <w:rPr/>
      </w:pPr>
      <w:r>
        <w:rPr>
          <w:rStyle w:val="Enfasi"/>
          <w:rFonts w:ascii="Times New Roman" w:hAnsi="Times New Roman"/>
          <w:b w:val="false"/>
          <w:i w:val="false"/>
          <w:caps w:val="false"/>
          <w:smallCaps w:val="false"/>
          <w:color w:val="000000"/>
          <w:spacing w:val="0"/>
          <w:sz w:val="24"/>
          <w:szCs w:val="24"/>
        </w:rPr>
        <w:t xml:space="preserve">I gruppi di lavoro sono stati organizzati per dipartimenti disciplinari e composti da un numero variabile di 5 -10 docenti. A ciascun gruppo è stato destinato un percorso formativo della durata di 10 ore, erogato direttamente dai fornitori dei visori. Durante la formazione, i docenti hanno avuto l’opportunità di sperimentare in prima persona attività didattiche basate sulla realtà aumentata, esplorando le potenzialità offerte dalla realtà virtuale in ambito educativo. L’esperienza ha permesso di comprendere come queste tecnologie, se integrate in modo strutturato nella programmazione didattica, possano arricchire l’insegnamento e favorire approcci innovativi all’apprendimento.  </w:t>
      </w:r>
    </w:p>
    <w:p>
      <w:pPr>
        <w:pStyle w:val="Corpodeltesto"/>
        <w:rPr/>
      </w:pPr>
      <w:r>
        <w:rPr>
          <w:rStyle w:val="Enfasi"/>
          <w:rFonts w:ascii="Times New Roman" w:hAnsi="Times New Roman"/>
          <w:b w:val="false"/>
          <w:i w:val="false"/>
          <w:caps w:val="false"/>
          <w:smallCaps w:val="false"/>
          <w:color w:val="000000"/>
          <w:spacing w:val="0"/>
          <w:sz w:val="24"/>
          <w:szCs w:val="24"/>
        </w:rPr>
        <w:t>Due sessioni di formazione in presenza sono state destinate al personale di segreteria per un uso consapevole e consolidato del sistema Passweb e Amministrazione Trasparente.</w:t>
      </w:r>
    </w:p>
    <w:p>
      <w:pPr>
        <w:pStyle w:val="Corpodeltesto"/>
        <w:rPr/>
      </w:pPr>
      <w:r>
        <w:rPr>
          <w:rStyle w:val="Enfasi"/>
          <w:rFonts w:ascii="Times New Roman" w:hAnsi="Times New Roman"/>
          <w:b w:val="false"/>
          <w:i w:val="false"/>
          <w:caps w:val="false"/>
          <w:smallCaps w:val="false"/>
          <w:color w:val="000000"/>
          <w:spacing w:val="0"/>
          <w:sz w:val="24"/>
          <w:szCs w:val="24"/>
        </w:rPr>
        <w:t xml:space="preserve">Nella seconda parte dell’anno scolastico sono stati erogati, e sono ancora in fase di completamento, corsi on line per tutto il personale scolastico: i percorsi scelti ed affidati ad un ente esterno sono sette, due dei quali  progettati </w:t>
      </w:r>
      <w:r>
        <w:rPr>
          <w:rStyle w:val="Enfasi"/>
          <w:rFonts w:ascii="Times New Roman" w:hAnsi="Times New Roman"/>
          <w:b w:val="false"/>
          <w:i w:val="false"/>
          <w:caps w:val="false"/>
          <w:smallCaps w:val="false"/>
          <w:color w:val="000000"/>
          <w:spacing w:val="0"/>
          <w:sz w:val="24"/>
          <w:szCs w:val="24"/>
        </w:rPr>
        <w:t>i</w:t>
      </w:r>
      <w:r>
        <w:rPr>
          <w:rStyle w:val="Enfasi"/>
          <w:rFonts w:ascii="Times New Roman" w:hAnsi="Times New Roman"/>
          <w:b w:val="false"/>
          <w:i w:val="false"/>
          <w:caps w:val="false"/>
          <w:smallCaps w:val="false"/>
          <w:color w:val="000000"/>
          <w:spacing w:val="0"/>
          <w:sz w:val="24"/>
          <w:szCs w:val="24"/>
        </w:rPr>
        <w:t xml:space="preserve">n coerenza con i quadri di riferimento europei </w:t>
      </w:r>
      <w:r>
        <w:rPr>
          <w:rStyle w:val="Enfasiforte"/>
          <w:rFonts w:ascii="Times New Roman" w:hAnsi="Times New Roman"/>
          <w:i w:val="false"/>
          <w:caps w:val="false"/>
          <w:smallCaps w:val="false"/>
          <w:color w:val="000000"/>
          <w:spacing w:val="0"/>
          <w:sz w:val="24"/>
          <w:szCs w:val="24"/>
        </w:rPr>
        <w:t>DigComp 2.2</w:t>
      </w:r>
      <w:r>
        <w:rPr>
          <w:rStyle w:val="Enfasi"/>
          <w:rFonts w:ascii="Times New Roman" w:hAnsi="Times New Roman"/>
          <w:b w:val="false"/>
          <w:i w:val="false"/>
          <w:caps w:val="false"/>
          <w:smallCaps w:val="false"/>
          <w:color w:val="000000"/>
          <w:spacing w:val="0"/>
          <w:sz w:val="24"/>
          <w:szCs w:val="24"/>
        </w:rPr>
        <w:t xml:space="preserve"> (per le competenze digitali dei cittadini)  </w:t>
      </w:r>
      <w:r>
        <w:rPr>
          <w:rStyle w:val="Enfasiforte"/>
          <w:rFonts w:ascii="Times New Roman" w:hAnsi="Times New Roman"/>
          <w:i w:val="false"/>
          <w:caps w:val="false"/>
          <w:smallCaps w:val="false"/>
          <w:color w:val="000000"/>
          <w:spacing w:val="0"/>
          <w:sz w:val="24"/>
          <w:szCs w:val="24"/>
        </w:rPr>
        <w:t>DigCompEdu</w:t>
      </w:r>
      <w:r>
        <w:rPr>
          <w:rStyle w:val="Enfasi"/>
          <w:rFonts w:ascii="Times New Roman" w:hAnsi="Times New Roman"/>
          <w:b w:val="false"/>
          <w:i w:val="false"/>
          <w:caps w:val="false"/>
          <w:smallCaps w:val="false"/>
          <w:color w:val="000000"/>
          <w:spacing w:val="0"/>
          <w:sz w:val="24"/>
          <w:szCs w:val="24"/>
        </w:rPr>
        <w:t xml:space="preserve"> (per le competenze digitali degli educatori), per garantire percorsi strutturati e validati a livello internazionale. I partecipanti s</w:t>
      </w:r>
      <w:r>
        <w:rPr>
          <w:rStyle w:val="Enfasi"/>
          <w:rFonts w:ascii="Times New Roman" w:hAnsi="Times New Roman"/>
          <w:b w:val="false"/>
          <w:i w:val="false"/>
          <w:caps w:val="false"/>
          <w:smallCaps w:val="false"/>
          <w:color w:val="000000"/>
          <w:spacing w:val="0"/>
          <w:sz w:val="24"/>
          <w:szCs w:val="24"/>
        </w:rPr>
        <w:t>ono</w:t>
      </w:r>
      <w:r>
        <w:rPr>
          <w:rStyle w:val="Enfasi"/>
          <w:rFonts w:ascii="Times New Roman" w:hAnsi="Times New Roman"/>
          <w:b w:val="false"/>
          <w:i w:val="false"/>
          <w:caps w:val="false"/>
          <w:smallCaps w:val="false"/>
          <w:color w:val="000000"/>
          <w:spacing w:val="0"/>
          <w:sz w:val="24"/>
          <w:szCs w:val="24"/>
        </w:rPr>
        <w:t xml:space="preserve"> accompagnati a sviluppare competenze operative, critiche e creative nell’utilizzo degli strumenti digitali. </w:t>
      </w:r>
    </w:p>
    <w:p>
      <w:pPr>
        <w:pStyle w:val="Corpodeltesto"/>
        <w:rPr/>
      </w:pPr>
      <w:r>
        <w:rPr>
          <w:rStyle w:val="Enfasi"/>
          <w:rFonts w:ascii="Times New Roman" w:hAnsi="Times New Roman"/>
          <w:b w:val="false"/>
          <w:i w:val="false"/>
          <w:caps w:val="false"/>
          <w:smallCaps w:val="false"/>
          <w:color w:val="000000"/>
          <w:spacing w:val="0"/>
          <w:sz w:val="24"/>
          <w:szCs w:val="24"/>
        </w:rPr>
        <w:t>L’obiettivo è quello di favorire un processo di trasformazione digitale per rendere l’ambiente scolastico moderno, inclusivo e tecnologicamente avanzato. Inoltre questi percorsi sono stati necessari per a</w:t>
      </w:r>
      <w:r>
        <w:rPr>
          <w:rFonts w:ascii="Times New Roman" w:hAnsi="Times New Roman"/>
          <w:sz w:val="24"/>
          <w:szCs w:val="24"/>
        </w:rPr>
        <w:t xml:space="preserve">ccrescere la consapevolezza e la competenza digitale di tutto il personale scolastico (docenti, dirigenti, personale ATA), affinché </w:t>
      </w:r>
      <w:r>
        <w:rPr>
          <w:rFonts w:ascii="Times New Roman" w:hAnsi="Times New Roman"/>
          <w:sz w:val="24"/>
          <w:szCs w:val="24"/>
        </w:rPr>
        <w:t xml:space="preserve">si </w:t>
      </w:r>
      <w:r>
        <w:rPr>
          <w:rFonts w:ascii="Times New Roman" w:hAnsi="Times New Roman"/>
          <w:sz w:val="24"/>
          <w:szCs w:val="24"/>
        </w:rPr>
        <w:t>possano integrare efficacemente le tecnologie digitali nella didattica e nella gestione scolastica.</w:t>
      </w:r>
    </w:p>
    <w:p>
      <w:pPr>
        <w:pStyle w:val="Corpodeltesto"/>
        <w:rPr/>
      </w:pPr>
      <w:r>
        <w:rPr>
          <w:rFonts w:ascii="Times New Roman" w:hAnsi="Times New Roman"/>
          <w:sz w:val="24"/>
          <w:szCs w:val="24"/>
        </w:rPr>
        <w:t>I restanti corsi hanno previsto focus su ambienti di apprendimento innovativi, creazione e condivisione di contenuti digitali, uso di applicazioni per  una didattica inclusiva, come gli strumenti digitali possano supportare la valutazione e naturalmente un corso approfondito sull’intelligenza artificiale. Quest’</w:t>
      </w:r>
      <w:r>
        <w:rPr>
          <w:rFonts w:ascii="Times New Roman" w:hAnsi="Times New Roman"/>
          <w:sz w:val="24"/>
          <w:szCs w:val="24"/>
        </w:rPr>
        <w:t>ultima</w:t>
      </w:r>
      <w:r>
        <w:rPr>
          <w:rFonts w:ascii="Times New Roman" w:hAnsi="Times New Roman"/>
          <w:sz w:val="24"/>
          <w:szCs w:val="24"/>
        </w:rPr>
        <w:t>, è emerso da un’indagine su tutti i contenuti dei corsi, è il comune denominatore della moderna pratica scolastica innovativa. Ciascuno dei campi della didattica su menzionati possono essere supportati da applicazioni e siti web che impiegano l’intelligenza artificiale.</w:t>
      </w:r>
    </w:p>
    <w:p>
      <w:pPr>
        <w:pStyle w:val="Corpodeltesto"/>
        <w:rPr/>
      </w:pPr>
      <w:r>
        <w:rPr>
          <w:rFonts w:ascii="Times New Roman" w:hAnsi="Times New Roman"/>
          <w:sz w:val="24"/>
          <w:szCs w:val="24"/>
        </w:rPr>
        <w:t>Menzione speciale è per la costituzione di una comunità di pratiche per l’apprendimento: un team di sei professoresse motivate e attente al benessere digitale di ciascun colleg</w:t>
      </w:r>
      <w:r>
        <w:rPr>
          <w:rFonts w:ascii="Times New Roman" w:hAnsi="Times New Roman"/>
          <w:sz w:val="24"/>
          <w:szCs w:val="24"/>
        </w:rPr>
        <w:t>a</w:t>
      </w:r>
      <w:r>
        <w:rPr>
          <w:rFonts w:ascii="Times New Roman" w:hAnsi="Times New Roman"/>
          <w:sz w:val="24"/>
          <w:szCs w:val="24"/>
        </w:rPr>
        <w:t xml:space="preserve"> perché consapevoli dei vantaggi di efficienza ed efficacia di un uso consapevole del digitale. </w:t>
      </w:r>
    </w:p>
    <w:p>
      <w:pPr>
        <w:pStyle w:val="Corpodeltesto"/>
        <w:rPr/>
      </w:pPr>
      <w:r>
        <w:rPr>
          <w:rFonts w:ascii="Times New Roman" w:hAnsi="Times New Roman"/>
          <w:sz w:val="24"/>
          <w:szCs w:val="24"/>
        </w:rPr>
        <w:t xml:space="preserve">Il team si è occupato principalmente di coordinare innanzitutto le buone pratiche di utilizzo dei visori, dei tablet, del telescopio elettronico e di tutti i dispositivi acquistati con </w:t>
      </w:r>
      <w:r>
        <w:rPr>
          <w:rFonts w:ascii="Times New Roman" w:hAnsi="Times New Roman"/>
          <w:sz w:val="24"/>
          <w:szCs w:val="24"/>
        </w:rPr>
        <w:t xml:space="preserve">PNRR </w:t>
      </w:r>
      <w:r>
        <w:rPr>
          <w:rStyle w:val="Enfasi"/>
          <w:rFonts w:ascii="Times New Roman" w:hAnsi="Times New Roman"/>
          <w:b w:val="false"/>
          <w:i w:val="false"/>
          <w:caps w:val="false"/>
          <w:smallCaps w:val="false"/>
          <w:color w:val="000000"/>
          <w:spacing w:val="0"/>
          <w:sz w:val="24"/>
          <w:szCs w:val="24"/>
        </w:rPr>
        <w:t xml:space="preserve">Next </w:t>
      </w:r>
      <w:r>
        <w:rPr>
          <w:rStyle w:val="Enfasi"/>
          <w:rFonts w:ascii="Times New Roman" w:hAnsi="Times New Roman"/>
          <w:b w:val="false"/>
          <w:i w:val="false"/>
          <w:caps w:val="false"/>
          <w:smallCaps w:val="false"/>
          <w:color w:val="000000"/>
          <w:spacing w:val="0"/>
          <w:sz w:val="24"/>
          <w:szCs w:val="24"/>
        </w:rPr>
        <w:t>G</w:t>
      </w:r>
      <w:r>
        <w:rPr>
          <w:rStyle w:val="Enfasi"/>
          <w:rFonts w:ascii="Times New Roman" w:hAnsi="Times New Roman"/>
          <w:b w:val="false"/>
          <w:i w:val="false"/>
          <w:caps w:val="false"/>
          <w:smallCaps w:val="false"/>
          <w:color w:val="000000"/>
          <w:spacing w:val="0"/>
          <w:sz w:val="24"/>
          <w:szCs w:val="24"/>
        </w:rPr>
        <w:t xml:space="preserve">eneration </w:t>
      </w:r>
      <w:r>
        <w:rPr>
          <w:rStyle w:val="Enfasi"/>
          <w:rFonts w:ascii="Times New Roman" w:hAnsi="Times New Roman"/>
          <w:b w:val="false"/>
          <w:i w:val="false"/>
          <w:caps w:val="false"/>
          <w:smallCaps w:val="false"/>
          <w:color w:val="000000"/>
          <w:spacing w:val="0"/>
          <w:sz w:val="24"/>
          <w:szCs w:val="24"/>
        </w:rPr>
        <w:t>C</w:t>
      </w:r>
      <w:r>
        <w:rPr>
          <w:rStyle w:val="Enfasi"/>
          <w:rFonts w:ascii="Times New Roman" w:hAnsi="Times New Roman"/>
          <w:b w:val="false"/>
          <w:i w:val="false"/>
          <w:caps w:val="false"/>
          <w:smallCaps w:val="false"/>
          <w:color w:val="000000"/>
          <w:spacing w:val="0"/>
          <w:sz w:val="24"/>
          <w:szCs w:val="24"/>
        </w:rPr>
        <w:t xml:space="preserve">lassrooms del Piano “Scuola 4.0”. Sono state attivate le licenze software </w:t>
      </w:r>
      <w:r>
        <w:rPr>
          <w:rStyle w:val="Enfasi"/>
          <w:rFonts w:ascii="Times New Roman" w:hAnsi="Times New Roman"/>
          <w:b w:val="false"/>
          <w:i w:val="false"/>
          <w:caps w:val="false"/>
          <w:smallCaps w:val="false"/>
          <w:color w:val="000000"/>
          <w:spacing w:val="0"/>
          <w:sz w:val="24"/>
          <w:szCs w:val="24"/>
        </w:rPr>
        <w:t>e implementati i relativi esecutivi su alcuni dispositivi della scuola in modo da essere a disposizione di ciascun docente. E’ stato un lavoro in sinergia e comunione di intenti nel rendere fruibile ai colleghi le potenzialità del mondo digitale presente nella nostra istituzione scolastica. Un approfondimento sul lavoro della comunità di pratiche verrà fornito in report dedicato.</w:t>
      </w:r>
    </w:p>
    <w:p>
      <w:pPr>
        <w:pStyle w:val="Corpodeltesto"/>
        <w:rPr/>
      </w:pPr>
      <w:r>
        <w:rPr>
          <w:rStyle w:val="Enfasi"/>
          <w:rFonts w:ascii="Times New Roman" w:hAnsi="Times New Roman"/>
          <w:b w:val="false"/>
          <w:i w:val="false"/>
          <w:caps w:val="false"/>
          <w:smallCaps w:val="false"/>
          <w:color w:val="000000"/>
          <w:spacing w:val="0"/>
          <w:sz w:val="24"/>
          <w:szCs w:val="24"/>
        </w:rPr>
        <w:t>Riguar</w:t>
      </w:r>
      <w:r>
        <w:rPr>
          <w:rStyle w:val="Enfasi"/>
          <w:rFonts w:ascii="Times New Roman" w:hAnsi="Times New Roman"/>
          <w:b w:val="false"/>
          <w:i w:val="false"/>
          <w:caps w:val="false"/>
          <w:smallCaps w:val="false"/>
          <w:color w:val="000000"/>
          <w:spacing w:val="0"/>
          <w:sz w:val="24"/>
          <w:szCs w:val="24"/>
        </w:rPr>
        <w:t>do il sito web scolastico e l’area e-learning, non si sono registrare nuove difficoltà da parte della comunità scolastic</w:t>
      </w:r>
      <w:r>
        <w:rPr>
          <w:rStyle w:val="Enfasi"/>
          <w:rFonts w:ascii="Times New Roman" w:hAnsi="Times New Roman"/>
          <w:b w:val="false"/>
          <w:i w:val="false"/>
          <w:caps w:val="false"/>
          <w:smallCaps w:val="false"/>
          <w:color w:val="000000"/>
          <w:spacing w:val="0"/>
          <w:sz w:val="24"/>
          <w:szCs w:val="24"/>
        </w:rPr>
        <w:t>a se non il già not</w:t>
      </w:r>
      <w:r>
        <w:rPr>
          <w:rStyle w:val="Enfasi"/>
          <w:rFonts w:ascii="Times New Roman" w:hAnsi="Times New Roman"/>
          <w:b w:val="false"/>
          <w:i w:val="false"/>
          <w:caps w:val="false"/>
          <w:smallCaps w:val="false"/>
          <w:color w:val="000000"/>
          <w:spacing w:val="0"/>
          <w:sz w:val="24"/>
          <w:szCs w:val="24"/>
        </w:rPr>
        <w:t xml:space="preserve">o problema di smarrimento delle password da parte di alcuni studenti. </w:t>
      </w:r>
    </w:p>
    <w:p>
      <w:pPr>
        <w:pStyle w:val="Normal"/>
        <w:jc w:val="right"/>
        <w:rPr>
          <w:rFonts w:ascii="Times New Roman" w:hAnsi="Times New Roman" w:cs="Times New Roman"/>
          <w:sz w:val="24"/>
          <w:szCs w:val="24"/>
        </w:rPr>
      </w:pPr>
      <w:r>
        <w:rPr/>
      </w:r>
    </w:p>
    <w:p>
      <w:pPr>
        <w:pStyle w:val="Normal"/>
        <w:jc w:val="right"/>
        <w:rPr>
          <w:rFonts w:ascii="Times New Roman" w:hAnsi="Times New Roman" w:cs="Times New Roman"/>
          <w:sz w:val="24"/>
          <w:szCs w:val="24"/>
        </w:rPr>
      </w:pPr>
      <w:r>
        <w:rPr>
          <w:rFonts w:cs="Times New Roman" w:ascii="Times New Roman" w:hAnsi="Times New Roman"/>
          <w:sz w:val="24"/>
          <w:szCs w:val="24"/>
        </w:rPr>
        <w:t>L’animatore digitale</w:t>
      </w:r>
    </w:p>
    <w:p>
      <w:pPr>
        <w:pStyle w:val="Normal"/>
        <w:spacing w:before="0" w:after="160"/>
        <w:jc w:val="right"/>
        <w:rPr>
          <w:rFonts w:ascii="Times New Roman" w:hAnsi="Times New Roman" w:cs="Times New Roman"/>
          <w:sz w:val="24"/>
          <w:szCs w:val="24"/>
        </w:rPr>
      </w:pPr>
      <w:r>
        <w:rPr/>
        <w:drawing>
          <wp:inline distT="0" distB="0" distL="0" distR="0">
            <wp:extent cx="1577975" cy="466725"/>
            <wp:effectExtent l="0" t="0" r="0" b="0"/>
            <wp:docPr id="1"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
                    <pic:cNvPicPr>
                      <a:picLocks noChangeAspect="1" noChangeArrowheads="1"/>
                    </pic:cNvPicPr>
                  </pic:nvPicPr>
                  <pic:blipFill>
                    <a:blip r:embed="rId2"/>
                    <a:stretch>
                      <a:fillRect/>
                    </a:stretch>
                  </pic:blipFill>
                  <pic:spPr bwMode="auto">
                    <a:xfrm>
                      <a:off x="0" y="0"/>
                      <a:ext cx="1577975" cy="466725"/>
                    </a:xfrm>
                    <a:prstGeom prst="rect">
                      <a:avLst/>
                    </a:prstGeom>
                  </pic:spPr>
                </pic:pic>
              </a:graphicData>
            </a:graphic>
          </wp:inline>
        </w:drawing>
      </w:r>
    </w:p>
    <w:sectPr>
      <w:type w:val="nextPage"/>
      <w:pgSz w:w="11906" w:h="16838"/>
      <w:pgMar w:left="1134" w:right="1134" w:gutter="0" w:header="0" w:top="1417"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2">
    <w:lvl w:ilvl="0">
      <w:start w:val="1"/>
      <w:numFmt w:val="decimal"/>
      <w:lvlText w:val="%1."/>
      <w:lvlJc w:val="left"/>
      <w:pPr>
        <w:tabs>
          <w:tab w:val="num" w:pos="707"/>
        </w:tabs>
        <w:ind w:left="707" w:hanging="283"/>
      </w:pPr>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Titolo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it-IT"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2"/>
      <w:sz w:val="22"/>
      <w:szCs w:val="22"/>
      <w:lang w:val="it-IT" w:eastAsia="en-US" w:bidi="ar-SA"/>
      <w14:ligatures w14:val="standardContextual"/>
    </w:rPr>
  </w:style>
  <w:style w:type="paragraph" w:styleId="Titolo3">
    <w:name w:val="Heading 3"/>
    <w:basedOn w:val="Titolo"/>
    <w:next w:val="Corpodeltesto"/>
    <w:qFormat/>
    <w:pPr>
      <w:spacing w:before="140" w:after="120"/>
      <w:outlineLvl w:val="2"/>
    </w:pPr>
    <w:rPr>
      <w:rFonts w:ascii="Liberation Serif" w:hAnsi="Liberation Serif" w:eastAsia="Segoe UI" w:cs="Tahoma"/>
      <w:b/>
      <w:bCs/>
      <w:sz w:val="28"/>
      <w:szCs w:val="28"/>
    </w:rPr>
  </w:style>
  <w:style w:type="character" w:styleId="DefaultParagraphFont" w:default="1">
    <w:name w:val="Default Paragraph Font"/>
    <w:uiPriority w:val="1"/>
    <w:semiHidden/>
    <w:unhideWhenUsed/>
    <w:qFormat/>
    <w:rPr/>
  </w:style>
  <w:style w:type="character" w:styleId="CollegamentoInternet">
    <w:name w:val="Collegamento Internet"/>
    <w:rPr>
      <w:color w:val="000080"/>
      <w:u w:val="single"/>
      <w:lang w:val="zxx" w:eastAsia="zxx" w:bidi="zxx"/>
    </w:rPr>
  </w:style>
  <w:style w:type="character" w:styleId="Caratteridinumerazione">
    <w:name w:val="Caratteri di numerazione"/>
    <w:qFormat/>
    <w:rPr/>
  </w:style>
  <w:style w:type="character" w:styleId="Enfasiforte">
    <w:name w:val="Enfasi forte"/>
    <w:qFormat/>
    <w:rPr>
      <w:b/>
      <w:bCs/>
    </w:rPr>
  </w:style>
  <w:style w:type="character" w:styleId="Punti">
    <w:name w:val="Punti"/>
    <w:qFormat/>
    <w:rPr>
      <w:rFonts w:ascii="OpenSymbol" w:hAnsi="OpenSymbol" w:eastAsia="OpenSymbol" w:cs="OpenSymbol"/>
    </w:rPr>
  </w:style>
  <w:style w:type="character" w:styleId="Enfasi">
    <w:name w:val="Enfasi"/>
    <w:qFormat/>
    <w:rPr>
      <w:i/>
      <w:iCs/>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lang w:val="zxx" w:eastAsia="zxx" w:bidi="zxx"/>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Application>LibreOffice/7.2.7.2$Windows_X86_64 LibreOffice_project/8d71d29d553c0f7dcbfa38fbfda25ee34cce99a2</Application>
  <AppVersion>15.0000</AppVersion>
  <Pages>2</Pages>
  <Words>832</Words>
  <Characters>5113</Characters>
  <CharactersWithSpaces>5927</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2024-06-10T15:27:00Z</dcterms:created>
  <dc:creator>User</dc:creator>
  <dc:description/>
  <dc:language>it-IT</dc:language>
  <cp:lastModifiedBy/>
  <dcterms:modified xsi:type="dcterms:W3CDTF">2025-06-05T01:46:45Z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