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28096" w14:textId="1824990F" w:rsidR="00A92BEE" w:rsidRDefault="005B77F7">
      <w:r>
        <w:rPr>
          <w:noProof/>
        </w:rPr>
        <w:drawing>
          <wp:inline distT="0" distB="0" distL="0" distR="0" wp14:anchorId="6CF0553B" wp14:editId="5F033461">
            <wp:extent cx="6115050" cy="1028700"/>
            <wp:effectExtent l="0" t="0" r="0" b="0"/>
            <wp:docPr id="29071110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27E8C0" w14:textId="4EE9C687" w:rsidR="005B77F7" w:rsidRDefault="005B77F7"/>
    <w:p w14:paraId="6E353BD0" w14:textId="776CA2AC" w:rsidR="0019396A" w:rsidRPr="00CF7104" w:rsidRDefault="0019396A" w:rsidP="0019396A">
      <w:pPr>
        <w:jc w:val="right"/>
        <w:rPr>
          <w:b/>
          <w:bCs/>
          <w:color w:val="002060"/>
        </w:rPr>
      </w:pPr>
      <w:r>
        <w:t xml:space="preserve">                                                                                       </w:t>
      </w:r>
      <w:r w:rsidR="008D4583">
        <w:t xml:space="preserve">  </w:t>
      </w:r>
      <w:r>
        <w:t xml:space="preserve"> </w:t>
      </w:r>
      <w:r w:rsidRPr="00CF7104">
        <w:rPr>
          <w:b/>
          <w:bCs/>
          <w:color w:val="002060"/>
        </w:rPr>
        <w:t>Al Dirigente scolastico</w:t>
      </w:r>
    </w:p>
    <w:p w14:paraId="0B4480D8" w14:textId="77777777" w:rsidR="0019396A" w:rsidRPr="00CF7104" w:rsidRDefault="0019396A" w:rsidP="0019396A">
      <w:pPr>
        <w:jc w:val="right"/>
        <w:rPr>
          <w:b/>
          <w:bCs/>
          <w:color w:val="002060"/>
        </w:rPr>
      </w:pPr>
      <w:r w:rsidRPr="00CF7104">
        <w:rPr>
          <w:b/>
          <w:bCs/>
          <w:color w:val="002060"/>
        </w:rPr>
        <w:t>Al Collegio Docenti</w:t>
      </w:r>
    </w:p>
    <w:p w14:paraId="5E0F8FB2" w14:textId="4038643F" w:rsidR="0019396A" w:rsidRPr="00CF7104" w:rsidRDefault="0019396A" w:rsidP="0019396A">
      <w:pPr>
        <w:jc w:val="right"/>
        <w:rPr>
          <w:b/>
          <w:bCs/>
          <w:color w:val="002060"/>
        </w:rPr>
      </w:pPr>
      <w:r w:rsidRPr="00CF7104">
        <w:rPr>
          <w:b/>
          <w:bCs/>
          <w:color w:val="002060"/>
        </w:rPr>
        <w:t xml:space="preserve">Liceo “Zingarelli </w:t>
      </w:r>
      <w:r>
        <w:rPr>
          <w:b/>
          <w:bCs/>
          <w:color w:val="002060"/>
        </w:rPr>
        <w:t xml:space="preserve">- </w:t>
      </w:r>
      <w:r w:rsidRPr="00CF7104">
        <w:rPr>
          <w:b/>
          <w:bCs/>
          <w:color w:val="002060"/>
        </w:rPr>
        <w:t>Sacro Cuore”</w:t>
      </w:r>
    </w:p>
    <w:p w14:paraId="16088678" w14:textId="77777777" w:rsidR="0019396A" w:rsidRDefault="0019396A" w:rsidP="0019396A">
      <w:pPr>
        <w:jc w:val="right"/>
        <w:rPr>
          <w:b/>
          <w:bCs/>
          <w:color w:val="002060"/>
        </w:rPr>
      </w:pPr>
      <w:r w:rsidRPr="00CF7104">
        <w:rPr>
          <w:b/>
          <w:bCs/>
          <w:color w:val="002060"/>
        </w:rPr>
        <w:t>Cerignola</w:t>
      </w:r>
    </w:p>
    <w:p w14:paraId="0CE46034" w14:textId="61445D28" w:rsidR="00B757C6" w:rsidRDefault="00B757C6" w:rsidP="00B757C6">
      <w:pPr>
        <w:rPr>
          <w:color w:val="002060"/>
        </w:rPr>
      </w:pPr>
      <w:r>
        <w:rPr>
          <w:b/>
          <w:bCs/>
          <w:color w:val="002060"/>
        </w:rPr>
        <w:t xml:space="preserve">Oggetto: </w:t>
      </w:r>
      <w:r>
        <w:rPr>
          <w:color w:val="002060"/>
        </w:rPr>
        <w:t>Relazione finale attribuzione incarico di referente per la sperimentazione e l’innovazione didattica a.s. 2024/2025</w:t>
      </w:r>
    </w:p>
    <w:p w14:paraId="280B24DD" w14:textId="77777777" w:rsidR="00B54264" w:rsidRDefault="00B54264" w:rsidP="00B757C6">
      <w:pPr>
        <w:rPr>
          <w:color w:val="002060"/>
        </w:rPr>
      </w:pPr>
    </w:p>
    <w:p w14:paraId="48FEDCD3" w14:textId="0CB7EAE3" w:rsidR="007E1857" w:rsidRDefault="00B54264" w:rsidP="007E1857">
      <w:pPr>
        <w:jc w:val="both"/>
        <w:rPr>
          <w:color w:val="002060"/>
        </w:rPr>
      </w:pPr>
      <w:r>
        <w:rPr>
          <w:color w:val="002060"/>
        </w:rPr>
        <w:t>Anche quest’anno scolastico, in continuità con gli anni scolastici precedenti, ho ricevuto l’incarico</w:t>
      </w:r>
      <w:r w:rsidR="007E1857">
        <w:rPr>
          <w:color w:val="002060"/>
        </w:rPr>
        <w:t>, da parte del Dirigente,</w:t>
      </w:r>
      <w:r>
        <w:rPr>
          <w:color w:val="002060"/>
        </w:rPr>
        <w:t xml:space="preserve"> di </w:t>
      </w:r>
      <w:r w:rsidRPr="00B54264">
        <w:rPr>
          <w:i/>
          <w:iCs/>
          <w:color w:val="002060"/>
        </w:rPr>
        <w:t>referente per la sperimentazione e innovazione didattica</w:t>
      </w:r>
      <w:r>
        <w:rPr>
          <w:color w:val="002060"/>
        </w:rPr>
        <w:t xml:space="preserve"> con provvedimento</w:t>
      </w:r>
      <w:r w:rsidR="003F1316">
        <w:rPr>
          <w:color w:val="002060"/>
        </w:rPr>
        <w:t xml:space="preserve"> n.</w:t>
      </w:r>
      <w:r>
        <w:rPr>
          <w:color w:val="002060"/>
        </w:rPr>
        <w:t xml:space="preserve"> prot.4707</w:t>
      </w:r>
      <w:r w:rsidR="003F1316">
        <w:rPr>
          <w:color w:val="002060"/>
        </w:rPr>
        <w:t>/U</w:t>
      </w:r>
      <w:r>
        <w:rPr>
          <w:color w:val="002060"/>
        </w:rPr>
        <w:t xml:space="preserve"> del 14/10/2024</w:t>
      </w:r>
      <w:r w:rsidR="007E1857">
        <w:rPr>
          <w:color w:val="002060"/>
        </w:rPr>
        <w:t>.</w:t>
      </w:r>
    </w:p>
    <w:p w14:paraId="4F281000" w14:textId="1E70563F" w:rsidR="00B54264" w:rsidRDefault="007E1857" w:rsidP="007E1857">
      <w:pPr>
        <w:jc w:val="both"/>
        <w:rPr>
          <w:color w:val="002060"/>
        </w:rPr>
      </w:pPr>
      <w:r>
        <w:rPr>
          <w:color w:val="002060"/>
        </w:rPr>
        <w:t>Nello specifico, mi sono occupata principalmente del curricolo dipartimentale del percorso quadriennale, portando a compimento l’intera programmazione del quadriennio</w:t>
      </w:r>
      <w:r w:rsidR="0066424C">
        <w:rPr>
          <w:color w:val="002060"/>
        </w:rPr>
        <w:t xml:space="preserve"> della seconda sperimentazione</w:t>
      </w:r>
      <w:r>
        <w:rPr>
          <w:color w:val="002060"/>
        </w:rPr>
        <w:t>,</w:t>
      </w:r>
      <w:r w:rsidR="0066424C">
        <w:rPr>
          <w:color w:val="002060"/>
        </w:rPr>
        <w:t xml:space="preserve"> </w:t>
      </w:r>
      <w:r>
        <w:rPr>
          <w:color w:val="002060"/>
        </w:rPr>
        <w:t>suddiviso in due bienni</w:t>
      </w:r>
      <w:r w:rsidR="0066424C">
        <w:rPr>
          <w:color w:val="002060"/>
        </w:rPr>
        <w:t xml:space="preserve">, per tutti gli assi (linguaggi, storico-sociale, scientifico).  </w:t>
      </w:r>
      <w:r w:rsidR="006C7260">
        <w:rPr>
          <w:color w:val="002060"/>
        </w:rPr>
        <w:t xml:space="preserve"> L’individuazione, la struttura e l’articolazione del curricolo ha tenuto conto dei seguenti documenti:</w:t>
      </w:r>
    </w:p>
    <w:p w14:paraId="76CFCA97" w14:textId="77777777" w:rsidR="006C7260" w:rsidRPr="00CF7104" w:rsidRDefault="006C7260" w:rsidP="006C7260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/>
          <w:b/>
          <w:bCs/>
          <w:color w:val="002060"/>
          <w:kern w:val="0"/>
          <w:lang w:eastAsia="it-IT"/>
          <w14:ligatures w14:val="none"/>
        </w:rPr>
      </w:pPr>
      <w:r w:rsidRPr="00CF7104">
        <w:rPr>
          <w:rFonts w:eastAsia="Times New Roman"/>
          <w:b/>
          <w:bCs/>
          <w:color w:val="002060"/>
          <w:kern w:val="0"/>
          <w:lang w:eastAsia="it-IT"/>
          <w14:ligatures w14:val="none"/>
        </w:rPr>
        <w:t xml:space="preserve">La “revisione dell’assetto ordinamentale, organizzativo e didattico dei licei ai sensi dell’art. 64 del decreto legge 25/06/2008, n. 112, convertito dalla legge 6/08/2008, n. 135,” </w:t>
      </w:r>
      <w:r w:rsidRPr="00CF7104">
        <w:rPr>
          <w:rFonts w:eastAsia="Times New Roman"/>
          <w:color w:val="002060"/>
          <w:kern w:val="0"/>
          <w:lang w:eastAsia="it-IT"/>
          <w14:ligatures w14:val="none"/>
        </w:rPr>
        <w:t>secondo</w:t>
      </w:r>
      <w:r w:rsidRPr="00CF7104">
        <w:rPr>
          <w:rFonts w:eastAsia="Times New Roman"/>
          <w:b/>
          <w:bCs/>
          <w:color w:val="002060"/>
          <w:kern w:val="0"/>
          <w:lang w:eastAsia="it-IT"/>
          <w14:ligatures w14:val="none"/>
        </w:rPr>
        <w:t xml:space="preserve"> l’Allegato A, </w:t>
      </w:r>
      <w:r w:rsidRPr="00CF7104">
        <w:rPr>
          <w:rFonts w:eastAsia="Times New Roman"/>
          <w:color w:val="002060"/>
          <w:kern w:val="0"/>
          <w:lang w:eastAsia="it-IT"/>
          <w14:ligatures w14:val="none"/>
        </w:rPr>
        <w:t>relativo</w:t>
      </w:r>
      <w:r w:rsidRPr="00CF7104">
        <w:rPr>
          <w:rFonts w:eastAsia="Times New Roman"/>
          <w:b/>
          <w:bCs/>
          <w:color w:val="002060"/>
          <w:kern w:val="0"/>
          <w:lang w:eastAsia="it-IT"/>
          <w14:ligatures w14:val="none"/>
        </w:rPr>
        <w:t xml:space="preserve"> al PECUP </w:t>
      </w:r>
      <w:r w:rsidRPr="00CF7104">
        <w:rPr>
          <w:rFonts w:eastAsia="Times New Roman"/>
          <w:color w:val="002060"/>
          <w:kern w:val="0"/>
          <w:lang w:eastAsia="it-IT"/>
          <w14:ligatures w14:val="none"/>
        </w:rPr>
        <w:t>del D.P.R. 89 del 15 marzo 2010 che prevede</w:t>
      </w:r>
      <w:r w:rsidRPr="00CF7104">
        <w:rPr>
          <w:rFonts w:eastAsia="Times New Roman"/>
          <w:b/>
          <w:bCs/>
          <w:color w:val="002060"/>
          <w:kern w:val="0"/>
          <w:lang w:eastAsia="it-IT"/>
          <w14:ligatures w14:val="none"/>
        </w:rPr>
        <w:t xml:space="preserve"> </w:t>
      </w:r>
      <w:r w:rsidRPr="00CF7104">
        <w:rPr>
          <w:rFonts w:eastAsia="Times New Roman"/>
          <w:color w:val="002060"/>
          <w:kern w:val="0"/>
          <w:lang w:eastAsia="it-IT"/>
          <w14:ligatures w14:val="none"/>
        </w:rPr>
        <w:t>i</w:t>
      </w:r>
      <w:r w:rsidRPr="00CF7104">
        <w:rPr>
          <w:rFonts w:eastAsia="Times New Roman"/>
          <w:b/>
          <w:bCs/>
          <w:color w:val="002060"/>
          <w:kern w:val="0"/>
          <w:lang w:eastAsia="it-IT"/>
          <w14:ligatures w14:val="none"/>
        </w:rPr>
        <w:t xml:space="preserve"> risultati di apprendimento del LICEO CLASSICO;</w:t>
      </w:r>
    </w:p>
    <w:p w14:paraId="1C9C07A2" w14:textId="77777777" w:rsidR="006C7260" w:rsidRPr="00CF7104" w:rsidRDefault="006C7260" w:rsidP="006C7260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/>
          <w:b/>
          <w:bCs/>
          <w:color w:val="002060"/>
          <w:kern w:val="0"/>
          <w:lang w:eastAsia="it-IT"/>
          <w14:ligatures w14:val="none"/>
        </w:rPr>
      </w:pPr>
      <w:r w:rsidRPr="00CF7104">
        <w:rPr>
          <w:rFonts w:eastAsia="Times New Roman"/>
          <w:b/>
          <w:bCs/>
          <w:color w:val="002060"/>
          <w:kern w:val="0"/>
          <w:lang w:eastAsia="it-IT"/>
          <w14:ligatures w14:val="none"/>
        </w:rPr>
        <w:t>Le INDICAZIONI NAZIONALI riguardanti gli obiettivi specifici di apprendimento;</w:t>
      </w:r>
    </w:p>
    <w:p w14:paraId="28DD803C" w14:textId="77777777" w:rsidR="006C7260" w:rsidRPr="00CF7104" w:rsidRDefault="006C7260" w:rsidP="006C7260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/>
          <w:b/>
          <w:bCs/>
          <w:color w:val="002060"/>
          <w:kern w:val="0"/>
          <w:lang w:eastAsia="it-IT"/>
          <w14:ligatures w14:val="none"/>
        </w:rPr>
      </w:pPr>
      <w:r w:rsidRPr="00CF7104">
        <w:rPr>
          <w:rFonts w:eastAsia="Times New Roman"/>
          <w:b/>
          <w:bCs/>
          <w:color w:val="002060"/>
          <w:kern w:val="0"/>
          <w:lang w:eastAsia="it-IT"/>
          <w14:ligatures w14:val="none"/>
        </w:rPr>
        <w:t xml:space="preserve">Il Documento tecnico del DM 139 del 22 agosto 2007 concernente ASSI CULTURALI e </w:t>
      </w:r>
    </w:p>
    <w:p w14:paraId="548D41FB" w14:textId="77777777" w:rsidR="006C7260" w:rsidRPr="00CF7104" w:rsidRDefault="006C7260" w:rsidP="006C7260">
      <w:pPr>
        <w:spacing w:after="0" w:line="240" w:lineRule="auto"/>
        <w:ind w:left="720"/>
        <w:jc w:val="both"/>
        <w:rPr>
          <w:rFonts w:eastAsia="Times New Roman"/>
          <w:b/>
          <w:bCs/>
          <w:color w:val="002060"/>
          <w:kern w:val="0"/>
          <w:lang w:eastAsia="it-IT"/>
          <w14:ligatures w14:val="none"/>
        </w:rPr>
      </w:pPr>
      <w:r w:rsidRPr="00CF7104">
        <w:rPr>
          <w:rFonts w:eastAsia="Times New Roman"/>
          <w:b/>
          <w:bCs/>
          <w:color w:val="002060"/>
          <w:kern w:val="0"/>
          <w:lang w:eastAsia="it-IT"/>
          <w14:ligatures w14:val="none"/>
        </w:rPr>
        <w:t xml:space="preserve">Abilità, Conoscenze, Competenze; </w:t>
      </w:r>
    </w:p>
    <w:p w14:paraId="4A291F43" w14:textId="77777777" w:rsidR="006C7260" w:rsidRPr="00CF7104" w:rsidRDefault="006C7260" w:rsidP="006C726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eastAsia="Times New Roman"/>
          <w:color w:val="002060"/>
          <w:kern w:val="0"/>
          <w:lang w:eastAsia="it-IT"/>
          <w14:ligatures w14:val="none"/>
        </w:rPr>
      </w:pPr>
      <w:r w:rsidRPr="00CF7104">
        <w:rPr>
          <w:rFonts w:eastAsia="Times New Roman"/>
          <w:b/>
          <w:bCs/>
          <w:color w:val="002060"/>
          <w:kern w:val="0"/>
          <w:lang w:eastAsia="it-IT"/>
          <w14:ligatures w14:val="none"/>
        </w:rPr>
        <w:t>Le competenze chiave per l'apprendimento</w:t>
      </w:r>
      <w:r w:rsidRPr="00CF7104">
        <w:rPr>
          <w:rFonts w:eastAsia="Times New Roman"/>
          <w:color w:val="002060"/>
          <w:kern w:val="0"/>
          <w:lang w:eastAsia="it-IT"/>
          <w14:ligatures w14:val="none"/>
        </w:rPr>
        <w:t xml:space="preserve"> </w:t>
      </w:r>
      <w:r w:rsidRPr="00CF7104">
        <w:rPr>
          <w:rFonts w:eastAsia="Times New Roman"/>
          <w:bCs/>
          <w:color w:val="002060"/>
          <w:kern w:val="0"/>
          <w:lang w:eastAsia="it-IT"/>
          <w14:ligatures w14:val="none"/>
        </w:rPr>
        <w:t>(</w:t>
      </w:r>
      <w:r w:rsidRPr="00CF7104">
        <w:rPr>
          <w:rFonts w:eastAsia="Times New Roman"/>
          <w:bCs/>
          <w:i/>
          <w:iCs/>
          <w:color w:val="002060"/>
          <w:kern w:val="0"/>
          <w:lang w:eastAsia="it-IT"/>
          <w14:ligatures w14:val="none"/>
        </w:rPr>
        <w:t>Raccomandazione del Consiglio dell'Unione Europea del 22 maggio 2018</w:t>
      </w:r>
      <w:r w:rsidRPr="00CF7104">
        <w:rPr>
          <w:rFonts w:eastAsia="Times New Roman"/>
          <w:bCs/>
          <w:color w:val="002060"/>
          <w:kern w:val="0"/>
          <w:lang w:eastAsia="it-IT"/>
          <w14:ligatures w14:val="none"/>
        </w:rPr>
        <w:t xml:space="preserve">) </w:t>
      </w:r>
      <w:r w:rsidRPr="00CF7104">
        <w:rPr>
          <w:rFonts w:eastAsia="Times New Roman"/>
          <w:b/>
          <w:color w:val="002060"/>
          <w:kern w:val="0"/>
          <w:lang w:eastAsia="it-IT"/>
          <w14:ligatures w14:val="none"/>
        </w:rPr>
        <w:t>e di cittadinanza</w:t>
      </w:r>
      <w:r w:rsidRPr="00CF7104">
        <w:rPr>
          <w:rFonts w:eastAsia="Times New Roman"/>
          <w:bCs/>
          <w:color w:val="002060"/>
          <w:kern w:val="0"/>
          <w:lang w:eastAsia="it-IT"/>
          <w14:ligatures w14:val="none"/>
        </w:rPr>
        <w:t xml:space="preserve"> (d</w:t>
      </w:r>
      <w:r w:rsidRPr="00CF7104">
        <w:rPr>
          <w:rFonts w:eastAsia="Times New Roman"/>
          <w:color w:val="002060"/>
          <w:kern w:val="0"/>
          <w:lang w:eastAsia="it-IT"/>
          <w14:ligatures w14:val="none"/>
        </w:rPr>
        <w:t>efinite dal D.M. n. 139 del 22 agosto 2007), integrata con la competenza eco-sostenibile (Agenda 2030).</w:t>
      </w:r>
    </w:p>
    <w:p w14:paraId="45FCF19A" w14:textId="77777777" w:rsidR="006C7260" w:rsidRDefault="006C7260" w:rsidP="007E1857">
      <w:pPr>
        <w:jc w:val="both"/>
        <w:rPr>
          <w:color w:val="002060"/>
        </w:rPr>
      </w:pPr>
    </w:p>
    <w:p w14:paraId="54C2C186" w14:textId="77777777" w:rsidR="00095DAF" w:rsidRDefault="00B63789" w:rsidP="00095DAF">
      <w:pPr>
        <w:jc w:val="both"/>
        <w:rPr>
          <w:color w:val="002060"/>
        </w:rPr>
      </w:pPr>
      <w:r>
        <w:rPr>
          <w:color w:val="002060"/>
        </w:rPr>
        <w:t xml:space="preserve">Peculiarità del percorso quadriennale è l’attività di </w:t>
      </w:r>
      <w:r w:rsidRPr="00DE510E">
        <w:rPr>
          <w:b/>
          <w:bCs/>
          <w:color w:val="002060"/>
        </w:rPr>
        <w:t>codocenza</w:t>
      </w:r>
      <w:r>
        <w:rPr>
          <w:color w:val="002060"/>
        </w:rPr>
        <w:t xml:space="preserve"> con indicazione di competenze comuni alle discipline individuate in sede di progettazione della seconda sperimentazione e che sono state selezionate nell’ottica di</w:t>
      </w:r>
      <w:r w:rsidR="00C56984">
        <w:rPr>
          <w:color w:val="002060"/>
        </w:rPr>
        <w:t xml:space="preserve"> superamento della</w:t>
      </w:r>
      <w:r>
        <w:rPr>
          <w:color w:val="002060"/>
        </w:rPr>
        <w:t xml:space="preserve"> visione dualistica del sapere umanistico e scientifico,</w:t>
      </w:r>
      <w:r w:rsidR="00C56984">
        <w:rPr>
          <w:color w:val="002060"/>
        </w:rPr>
        <w:t xml:space="preserve"> mi</w:t>
      </w:r>
      <w:r>
        <w:rPr>
          <w:color w:val="002060"/>
        </w:rPr>
        <w:t>ra</w:t>
      </w:r>
      <w:r w:rsidR="00C56984">
        <w:rPr>
          <w:color w:val="002060"/>
        </w:rPr>
        <w:t>nd</w:t>
      </w:r>
      <w:r>
        <w:rPr>
          <w:color w:val="002060"/>
        </w:rPr>
        <w:t>o all’integrazione</w:t>
      </w:r>
      <w:r w:rsidR="00C56984">
        <w:rPr>
          <w:color w:val="002060"/>
        </w:rPr>
        <w:t xml:space="preserve"> tra discipline </w:t>
      </w:r>
      <w:r w:rsidR="00C56984">
        <w:rPr>
          <w:color w:val="002060"/>
        </w:rPr>
        <w:lastRenderedPageBreak/>
        <w:t>apparentemente antitetiche</w:t>
      </w:r>
      <w:r>
        <w:rPr>
          <w:color w:val="002060"/>
        </w:rPr>
        <w:t>.</w:t>
      </w:r>
      <w:r w:rsidR="00C56984">
        <w:rPr>
          <w:color w:val="002060"/>
        </w:rPr>
        <w:t xml:space="preserve"> Gli studenti del quadriennale imparano a leggere fenomeni complessi</w:t>
      </w:r>
      <w:r w:rsidR="007479BA">
        <w:rPr>
          <w:color w:val="002060"/>
        </w:rPr>
        <w:t>,</w:t>
      </w:r>
      <w:r w:rsidR="00C56984">
        <w:rPr>
          <w:color w:val="002060"/>
        </w:rPr>
        <w:t xml:space="preserve"> ricorrendo a strumenti culturali diversi, ma complementari. Una volta per tutte, un esempio: le scienze offrono un metodo</w:t>
      </w:r>
      <w:r w:rsidR="007479BA">
        <w:rPr>
          <w:color w:val="002060"/>
        </w:rPr>
        <w:t xml:space="preserve"> di </w:t>
      </w:r>
      <w:r w:rsidR="00C56984">
        <w:rPr>
          <w:color w:val="002060"/>
        </w:rPr>
        <w:t>analisi e rigore empirico, le discipline umanistiche stimolano l’interpretazione,</w:t>
      </w:r>
      <w:r w:rsidR="007479BA">
        <w:rPr>
          <w:color w:val="002060"/>
        </w:rPr>
        <w:t xml:space="preserve"> </w:t>
      </w:r>
      <w:r w:rsidR="00C56984">
        <w:rPr>
          <w:color w:val="002060"/>
        </w:rPr>
        <w:t xml:space="preserve">il senso etico e storico, la riflessione e il significato. I due approcci aiutano a valutare non solo il </w:t>
      </w:r>
      <w:r w:rsidR="00C56984" w:rsidRPr="005F572B">
        <w:rPr>
          <w:i/>
          <w:iCs/>
          <w:color w:val="002060"/>
        </w:rPr>
        <w:t>come</w:t>
      </w:r>
      <w:r w:rsidR="00C56984">
        <w:rPr>
          <w:color w:val="002060"/>
        </w:rPr>
        <w:t xml:space="preserve"> funziona qualcosa, ma anche il </w:t>
      </w:r>
      <w:r w:rsidR="00C56984" w:rsidRPr="005F572B">
        <w:rPr>
          <w:i/>
          <w:iCs/>
          <w:color w:val="002060"/>
        </w:rPr>
        <w:t>perché</w:t>
      </w:r>
      <w:r w:rsidR="00C56984">
        <w:rPr>
          <w:color w:val="002060"/>
        </w:rPr>
        <w:t xml:space="preserve"> e con quali conseguenze. </w:t>
      </w:r>
      <w:r w:rsidR="005F572B">
        <w:rPr>
          <w:color w:val="002060"/>
        </w:rPr>
        <w:t>E cosa dire della comunicazione tra linguaggi specifici che dialogano tra loro e abbattono barriere oggi più che mai obsolete? Anche i docenti, seminatori del loro sapere disciplinare, si confrontano, uscendo fuori dal loro recinto, in un’ottica di insegnamento più dinamico, dialogico e coinvolgente, formando cittadini capaci di orientarsi in un mondo sempre più complesso, dove decisioni etiche e scientifiche si intrecciano continuamente.</w:t>
      </w:r>
    </w:p>
    <w:p w14:paraId="07E6CBEE" w14:textId="2B64CABF" w:rsidR="00944B5F" w:rsidRPr="00BC6FA8" w:rsidRDefault="00944B5F" w:rsidP="00095DAF">
      <w:pPr>
        <w:jc w:val="both"/>
        <w:rPr>
          <w:rFonts w:eastAsia="Times New Roman"/>
          <w:i/>
          <w:iCs/>
          <w:color w:val="002060"/>
          <w:kern w:val="0"/>
          <w:lang w:eastAsia="it-IT"/>
          <w14:ligatures w14:val="none"/>
        </w:rPr>
      </w:pPr>
      <w:r>
        <w:rPr>
          <w:rFonts w:eastAsia="Times New Roman"/>
          <w:color w:val="002060"/>
          <w:kern w:val="0"/>
          <w:lang w:eastAsia="it-IT"/>
          <w14:ligatures w14:val="none"/>
        </w:rPr>
        <w:t xml:space="preserve">Nel mese di novembre ho partecipato, in modalità </w:t>
      </w:r>
      <w:r w:rsidRPr="00BC6FA8">
        <w:rPr>
          <w:rFonts w:eastAsia="Times New Roman"/>
          <w:i/>
          <w:iCs/>
          <w:color w:val="002060"/>
          <w:kern w:val="0"/>
          <w:lang w:eastAsia="it-IT"/>
          <w14:ligatures w14:val="none"/>
        </w:rPr>
        <w:t>online</w:t>
      </w:r>
      <w:r>
        <w:rPr>
          <w:rFonts w:eastAsia="Times New Roman"/>
          <w:i/>
          <w:iCs/>
          <w:color w:val="002060"/>
          <w:kern w:val="0"/>
          <w:lang w:eastAsia="it-IT"/>
          <w14:ligatures w14:val="none"/>
        </w:rPr>
        <w:t>,</w:t>
      </w:r>
      <w:r>
        <w:rPr>
          <w:rFonts w:eastAsia="Times New Roman"/>
          <w:color w:val="002060"/>
          <w:kern w:val="0"/>
          <w:lang w:eastAsia="it-IT"/>
          <w14:ligatures w14:val="none"/>
        </w:rPr>
        <w:t xml:space="preserve"> ad un secondo </w:t>
      </w:r>
      <w:r w:rsidRPr="00DE510E">
        <w:rPr>
          <w:rFonts w:eastAsia="Times New Roman"/>
          <w:b/>
          <w:bCs/>
          <w:color w:val="002060"/>
          <w:kern w:val="0"/>
          <w:lang w:eastAsia="it-IT"/>
          <w14:ligatures w14:val="none"/>
        </w:rPr>
        <w:t xml:space="preserve">seminario </w:t>
      </w:r>
      <w:r w:rsidRPr="00BC6FA8">
        <w:rPr>
          <w:rFonts w:eastAsia="Times New Roman"/>
          <w:b/>
          <w:bCs/>
          <w:color w:val="002060"/>
          <w:kern w:val="0"/>
          <w:lang w:eastAsia="it-IT"/>
          <w14:ligatures w14:val="none"/>
        </w:rPr>
        <w:t>sui percorsi di</w:t>
      </w:r>
      <w:r>
        <w:rPr>
          <w:rFonts w:eastAsia="Times New Roman"/>
          <w:color w:val="002060"/>
          <w:kern w:val="0"/>
          <w:lang w:eastAsia="it-IT"/>
          <w14:ligatures w14:val="none"/>
        </w:rPr>
        <w:t xml:space="preserve"> </w:t>
      </w:r>
      <w:r w:rsidRPr="00BC6FA8">
        <w:rPr>
          <w:rFonts w:eastAsia="Times New Roman"/>
          <w:b/>
          <w:bCs/>
          <w:color w:val="002060"/>
          <w:kern w:val="0"/>
          <w:lang w:eastAsia="it-IT"/>
          <w14:ligatures w14:val="none"/>
        </w:rPr>
        <w:t xml:space="preserve">sperimentazione </w:t>
      </w:r>
      <w:r>
        <w:rPr>
          <w:rFonts w:eastAsia="Times New Roman"/>
          <w:color w:val="002060"/>
          <w:kern w:val="0"/>
          <w:lang w:eastAsia="it-IT"/>
          <w14:ligatures w14:val="none"/>
        </w:rPr>
        <w:t>dal quale ho definitivamente assunto la consapevolezza  che l’uso della tecnologia, oggi, deve essere parte attiva, integrante, imprescindibile e/o di supporto per i nostri ragazzi ai quali dovrebbe essere dedicato un curricolo verticale specifico che parta dalle scuole d’infanzia e arrivi almeno fino alle scuole secondarie di secondo grado, progetto su cui si sta lavorando e che si spera di prossima realizzazione.</w:t>
      </w:r>
    </w:p>
    <w:p w14:paraId="3C2A1106" w14:textId="1883D2A4" w:rsidR="00944B5F" w:rsidRPr="00CF7104" w:rsidRDefault="00944B5F" w:rsidP="00DE510E">
      <w:pPr>
        <w:spacing w:after="0"/>
        <w:jc w:val="both"/>
        <w:rPr>
          <w:rFonts w:eastAsia="Times New Roman"/>
          <w:color w:val="002060"/>
          <w:kern w:val="0"/>
          <w:lang w:eastAsia="it-IT"/>
          <w14:ligatures w14:val="none"/>
        </w:rPr>
      </w:pPr>
      <w:r w:rsidRPr="00CF7104">
        <w:rPr>
          <w:rFonts w:eastAsia="Times New Roman"/>
          <w:color w:val="002060"/>
          <w:kern w:val="0"/>
          <w:lang w:eastAsia="it-IT"/>
          <w14:ligatures w14:val="none"/>
        </w:rPr>
        <w:t xml:space="preserve">Durante la fase di </w:t>
      </w:r>
      <w:r w:rsidRPr="00CF7104">
        <w:rPr>
          <w:rFonts w:eastAsia="Times New Roman"/>
          <w:b/>
          <w:bCs/>
          <w:color w:val="002060"/>
          <w:kern w:val="0"/>
          <w:lang w:eastAsia="it-IT"/>
          <w14:ligatures w14:val="none"/>
        </w:rPr>
        <w:t>orientamento</w:t>
      </w:r>
      <w:r>
        <w:rPr>
          <w:rFonts w:eastAsia="Times New Roman"/>
          <w:b/>
          <w:bCs/>
          <w:color w:val="002060"/>
          <w:kern w:val="0"/>
          <w:lang w:eastAsia="it-IT"/>
          <w14:ligatures w14:val="none"/>
        </w:rPr>
        <w:t xml:space="preserve"> in entrata</w:t>
      </w:r>
      <w:r w:rsidRPr="00CF7104">
        <w:rPr>
          <w:rFonts w:eastAsia="Times New Roman"/>
          <w:color w:val="002060"/>
          <w:kern w:val="0"/>
          <w:lang w:eastAsia="it-IT"/>
          <w14:ligatures w14:val="none"/>
        </w:rPr>
        <w:t xml:space="preserve"> ho disseminato nei colleghi</w:t>
      </w:r>
      <w:r>
        <w:rPr>
          <w:rFonts w:eastAsia="Times New Roman"/>
          <w:color w:val="002060"/>
          <w:kern w:val="0"/>
          <w:lang w:eastAsia="it-IT"/>
          <w14:ligatures w14:val="none"/>
        </w:rPr>
        <w:t xml:space="preserve"> di nuova nomina </w:t>
      </w:r>
      <w:r w:rsidRPr="00CF7104">
        <w:rPr>
          <w:rFonts w:eastAsia="Times New Roman"/>
          <w:color w:val="002060"/>
          <w:kern w:val="0"/>
          <w:lang w:eastAsia="it-IT"/>
          <w14:ligatures w14:val="none"/>
        </w:rPr>
        <w:t xml:space="preserve">notizie e spunti significativi </w:t>
      </w:r>
      <w:r>
        <w:rPr>
          <w:rFonts w:eastAsia="Times New Roman"/>
          <w:color w:val="002060"/>
          <w:kern w:val="0"/>
          <w:lang w:eastAsia="it-IT"/>
          <w14:ligatures w14:val="none"/>
        </w:rPr>
        <w:t xml:space="preserve">per la </w:t>
      </w:r>
      <w:r w:rsidRPr="00CF7104">
        <w:rPr>
          <w:rFonts w:eastAsia="Times New Roman"/>
          <w:color w:val="002060"/>
          <w:kern w:val="0"/>
          <w:lang w:eastAsia="it-IT"/>
          <w14:ligatures w14:val="none"/>
        </w:rPr>
        <w:t>conoscenza più approfondita del nuovo percorso</w:t>
      </w:r>
      <w:r>
        <w:rPr>
          <w:rFonts w:eastAsia="Times New Roman"/>
          <w:color w:val="002060"/>
          <w:kern w:val="0"/>
          <w:lang w:eastAsia="it-IT"/>
          <w14:ligatures w14:val="none"/>
        </w:rPr>
        <w:t xml:space="preserve"> sperimentale</w:t>
      </w:r>
      <w:r w:rsidRPr="00CF7104">
        <w:rPr>
          <w:rFonts w:eastAsia="Times New Roman"/>
          <w:color w:val="002060"/>
          <w:kern w:val="0"/>
          <w:lang w:eastAsia="it-IT"/>
          <w14:ligatures w14:val="none"/>
        </w:rPr>
        <w:t xml:space="preserve">, nell’ottica di una </w:t>
      </w:r>
      <w:r>
        <w:rPr>
          <w:rFonts w:eastAsia="Times New Roman"/>
          <w:color w:val="002060"/>
          <w:kern w:val="0"/>
          <w:lang w:eastAsia="it-IT"/>
          <w14:ligatures w14:val="none"/>
        </w:rPr>
        <w:t>sempre più attiva partecipazione e condivisione del progetto</w:t>
      </w:r>
      <w:r w:rsidRPr="00CF7104">
        <w:rPr>
          <w:rFonts w:eastAsia="Times New Roman"/>
          <w:color w:val="002060"/>
          <w:kern w:val="0"/>
          <w:lang w:eastAsia="it-IT"/>
          <w14:ligatures w14:val="none"/>
        </w:rPr>
        <w:t>.</w:t>
      </w:r>
    </w:p>
    <w:p w14:paraId="34DBE96C" w14:textId="7755C12C" w:rsidR="00944B5F" w:rsidRPr="00CF7104" w:rsidRDefault="00944B5F" w:rsidP="00944B5F">
      <w:pPr>
        <w:spacing w:after="0"/>
        <w:jc w:val="both"/>
        <w:rPr>
          <w:rFonts w:eastAsia="Times New Roman"/>
          <w:bCs/>
          <w:color w:val="002060"/>
          <w:kern w:val="0"/>
          <w14:ligatures w14:val="none"/>
        </w:rPr>
      </w:pPr>
      <w:r w:rsidRPr="00CF7104">
        <w:rPr>
          <w:rFonts w:eastAsia="Times New Roman"/>
          <w:color w:val="002060"/>
          <w:kern w:val="0"/>
          <w:lang w:eastAsia="it-IT"/>
          <w14:ligatures w14:val="none"/>
        </w:rPr>
        <w:t>Una parte significativa e abbastanza corposa dell’anno</w:t>
      </w:r>
      <w:r>
        <w:rPr>
          <w:rFonts w:eastAsia="Times New Roman"/>
          <w:color w:val="002060"/>
          <w:kern w:val="0"/>
          <w:lang w:eastAsia="it-IT"/>
          <w14:ligatures w14:val="none"/>
        </w:rPr>
        <w:t xml:space="preserve"> scolastico</w:t>
      </w:r>
      <w:r w:rsidRPr="00CF7104">
        <w:rPr>
          <w:rFonts w:eastAsia="Times New Roman"/>
          <w:color w:val="002060"/>
          <w:kern w:val="0"/>
          <w:lang w:eastAsia="it-IT"/>
          <w14:ligatures w14:val="none"/>
        </w:rPr>
        <w:t xml:space="preserve"> è stata spesa nella gestione degli </w:t>
      </w:r>
      <w:r w:rsidRPr="00CF7104">
        <w:rPr>
          <w:rFonts w:eastAsia="Times New Roman"/>
          <w:b/>
          <w:bCs/>
          <w:color w:val="002060"/>
          <w:kern w:val="0"/>
          <w:lang w:eastAsia="it-IT"/>
          <w14:ligatures w14:val="none"/>
        </w:rPr>
        <w:t>insegnamenti opzionali</w:t>
      </w:r>
      <w:r w:rsidRPr="00CF7104">
        <w:rPr>
          <w:rFonts w:eastAsia="Times New Roman"/>
          <w:color w:val="002060"/>
          <w:kern w:val="0"/>
          <w:lang w:eastAsia="it-IT"/>
          <w14:ligatures w14:val="none"/>
        </w:rPr>
        <w:t xml:space="preserve"> previsti nel nuovo</w:t>
      </w:r>
      <w:r>
        <w:rPr>
          <w:rFonts w:eastAsia="Times New Roman"/>
          <w:color w:val="002060"/>
          <w:kern w:val="0"/>
          <w:lang w:eastAsia="it-IT"/>
          <w14:ligatures w14:val="none"/>
        </w:rPr>
        <w:t xml:space="preserve"> ordinamento</w:t>
      </w:r>
      <w:r w:rsidRPr="00CF7104">
        <w:rPr>
          <w:rFonts w:eastAsia="Times New Roman"/>
          <w:color w:val="002060"/>
          <w:kern w:val="0"/>
          <w:lang w:eastAsia="it-IT"/>
          <w14:ligatures w14:val="none"/>
        </w:rPr>
        <w:t xml:space="preserve"> quadriennale</w:t>
      </w:r>
      <w:r w:rsidR="007F67C2">
        <w:rPr>
          <w:rFonts w:eastAsia="Times New Roman"/>
          <w:color w:val="002060"/>
          <w:kern w:val="0"/>
          <w:lang w:eastAsia="it-IT"/>
          <w14:ligatures w14:val="none"/>
        </w:rPr>
        <w:t>,</w:t>
      </w:r>
      <w:r w:rsidRPr="00CF7104">
        <w:rPr>
          <w:rFonts w:eastAsia="Times New Roman"/>
          <w:color w:val="002060"/>
          <w:kern w:val="0"/>
          <w:lang w:eastAsia="it-IT"/>
          <w14:ligatures w14:val="none"/>
        </w:rPr>
        <w:t xml:space="preserve"> attraverso la collaborazione fra enti e/o associazioni del territorio e scuola.  A riguardo, la sinergia del lavoro svolto con l’Università di Foggia è stata magistrale, pur non essendo stata esente da talune difficoltà organizzative riguardanti gli accordi tra le parti: i contatti sono stati costanti e prolungati.  Il risultato è stato, però, più che soddisfacente per tutti i soggetti coinvolti. Nello specifico, sono state realizzate le </w:t>
      </w:r>
      <w:r w:rsidRPr="00CF7104">
        <w:rPr>
          <w:rFonts w:eastAsia="Times New Roman"/>
          <w:i/>
          <w:iCs/>
          <w:color w:val="002060"/>
          <w:kern w:val="0"/>
          <w:lang w:eastAsia="it-IT"/>
          <w14:ligatures w14:val="none"/>
        </w:rPr>
        <w:t xml:space="preserve">learning week </w:t>
      </w:r>
      <w:r w:rsidRPr="00CF7104">
        <w:rPr>
          <w:rFonts w:eastAsia="Times New Roman"/>
          <w:color w:val="002060"/>
          <w:kern w:val="0"/>
          <w:lang w:eastAsia="it-IT"/>
          <w14:ligatures w14:val="none"/>
        </w:rPr>
        <w:t>che si sono svolte a termine del primo quadrimestre, periodo forse più tranquillo da un punto di vista scolastico.</w:t>
      </w:r>
      <w:r w:rsidRPr="00CF7104">
        <w:rPr>
          <w:rFonts w:ascii="Times New Roman" w:hAnsi="Times New Roman" w:cs="Times New Roman"/>
          <w:color w:val="002060"/>
          <w:kern w:val="0"/>
          <w:sz w:val="28"/>
          <w:szCs w:val="28"/>
          <w14:ligatures w14:val="none"/>
        </w:rPr>
        <w:t xml:space="preserve"> </w:t>
      </w:r>
      <w:r w:rsidRPr="00CF7104">
        <w:rPr>
          <w:color w:val="002060"/>
          <w:kern w:val="0"/>
          <w14:ligatures w14:val="none"/>
        </w:rPr>
        <w:t xml:space="preserve">A partire dal </w:t>
      </w:r>
      <w:r w:rsidRPr="00B63789">
        <w:rPr>
          <w:color w:val="002060"/>
          <w:kern w:val="0"/>
          <w14:ligatures w14:val="none"/>
        </w:rPr>
        <w:t>0</w:t>
      </w:r>
      <w:r w:rsidR="00B63789" w:rsidRPr="00B63789">
        <w:rPr>
          <w:color w:val="002060"/>
          <w:kern w:val="0"/>
          <w14:ligatures w14:val="none"/>
        </w:rPr>
        <w:t>6</w:t>
      </w:r>
      <w:r w:rsidRPr="00B63789">
        <w:rPr>
          <w:color w:val="002060"/>
          <w:kern w:val="0"/>
          <w14:ligatures w14:val="none"/>
        </w:rPr>
        <w:t>/02 fino al 2</w:t>
      </w:r>
      <w:r w:rsidR="00B63789" w:rsidRPr="00B63789">
        <w:rPr>
          <w:color w:val="002060"/>
          <w:kern w:val="0"/>
          <w14:ligatures w14:val="none"/>
        </w:rPr>
        <w:t>0</w:t>
      </w:r>
      <w:r w:rsidRPr="00B63789">
        <w:rPr>
          <w:color w:val="002060"/>
          <w:kern w:val="0"/>
          <w14:ligatures w14:val="none"/>
        </w:rPr>
        <w:t>/0</w:t>
      </w:r>
      <w:r w:rsidR="00B63789" w:rsidRPr="00B63789">
        <w:rPr>
          <w:color w:val="002060"/>
          <w:kern w:val="0"/>
          <w14:ligatures w14:val="none"/>
        </w:rPr>
        <w:t>3</w:t>
      </w:r>
      <w:r w:rsidRPr="00CF7104">
        <w:rPr>
          <w:color w:val="002060"/>
          <w:kern w:val="0"/>
          <w14:ligatures w14:val="none"/>
        </w:rPr>
        <w:t xml:space="preserve"> sono stati attivati </w:t>
      </w:r>
      <w:r w:rsidRPr="00351ABB">
        <w:rPr>
          <w:i/>
          <w:iCs/>
          <w:color w:val="002060"/>
          <w:kern w:val="0"/>
          <w14:ligatures w14:val="none"/>
        </w:rPr>
        <w:t>workshop</w:t>
      </w:r>
      <w:r w:rsidRPr="00CF7104">
        <w:rPr>
          <w:color w:val="002060"/>
          <w:kern w:val="0"/>
          <w14:ligatures w14:val="none"/>
        </w:rPr>
        <w:t xml:space="preserve"> formativi trasversali con docenti dell’Università di Foggia che hanno avuto l’obiettivo di valorizzare l’apprendimento laboratoriale, cooperativo e modulare, utilizzando spazi e luoghi diversificati, in un’ottica di superamento del mero modello trasmissivo del sapere, finalizzato allo sviluppo di competenze chiave e di cittadinanza. Le attività sono state avvincenti, coinvolgenti e accattivanti al punto da coinvolgere classi del percorso tradizionale quinquennale e computate </w:t>
      </w:r>
      <w:r w:rsidR="007F67C2">
        <w:rPr>
          <w:color w:val="002060"/>
          <w:kern w:val="0"/>
          <w14:ligatures w14:val="none"/>
        </w:rPr>
        <w:t>nel novero</w:t>
      </w:r>
      <w:r w:rsidRPr="00CF7104">
        <w:rPr>
          <w:color w:val="002060"/>
          <w:kern w:val="0"/>
          <w14:ligatures w14:val="none"/>
        </w:rPr>
        <w:t xml:space="preserve"> del monte ore del P.C.T.O</w:t>
      </w:r>
      <w:r w:rsidR="007F67C2">
        <w:rPr>
          <w:color w:val="002060"/>
          <w:kern w:val="0"/>
          <w14:ligatures w14:val="none"/>
        </w:rPr>
        <w:t xml:space="preserve"> e dell’Orientamento, D.M. 328/2022</w:t>
      </w:r>
      <w:r w:rsidRPr="00CF7104">
        <w:rPr>
          <w:color w:val="002060"/>
          <w:kern w:val="0"/>
          <w14:ligatures w14:val="none"/>
        </w:rPr>
        <w:t xml:space="preserve">. </w:t>
      </w:r>
      <w:r w:rsidRPr="00CF7104">
        <w:rPr>
          <w:rFonts w:eastAsia="Times New Roman"/>
          <w:bCs/>
          <w:color w:val="002060"/>
          <w:kern w:val="0"/>
          <w14:ligatures w14:val="none"/>
        </w:rPr>
        <w:t>Il trasferimento degli studenti presso l’UNIFG</w:t>
      </w:r>
      <w:r>
        <w:rPr>
          <w:rFonts w:eastAsia="Times New Roman"/>
          <w:bCs/>
          <w:color w:val="002060"/>
          <w:kern w:val="0"/>
          <w14:ligatures w14:val="none"/>
        </w:rPr>
        <w:t>, previsto</w:t>
      </w:r>
      <w:r w:rsidRPr="00CF7104">
        <w:rPr>
          <w:rFonts w:eastAsia="Times New Roman"/>
          <w:bCs/>
          <w:color w:val="002060"/>
          <w:kern w:val="0"/>
          <w14:ligatures w14:val="none"/>
        </w:rPr>
        <w:t xml:space="preserve"> in qualche fase</w:t>
      </w:r>
      <w:r>
        <w:rPr>
          <w:rFonts w:eastAsia="Times New Roman"/>
          <w:bCs/>
          <w:color w:val="002060"/>
          <w:kern w:val="0"/>
          <w14:ligatures w14:val="none"/>
        </w:rPr>
        <w:t>,</w:t>
      </w:r>
      <w:r w:rsidRPr="00CF7104">
        <w:rPr>
          <w:rFonts w:eastAsia="Times New Roman"/>
          <w:bCs/>
          <w:color w:val="002060"/>
          <w:kern w:val="0"/>
          <w14:ligatures w14:val="none"/>
        </w:rPr>
        <w:t xml:space="preserve"> è stato particolarmente gradito, in quanto s</w:t>
      </w:r>
      <w:r>
        <w:rPr>
          <w:rFonts w:eastAsia="Times New Roman"/>
          <w:bCs/>
          <w:color w:val="002060"/>
          <w:kern w:val="0"/>
          <w14:ligatures w14:val="none"/>
        </w:rPr>
        <w:t>peso</w:t>
      </w:r>
      <w:r w:rsidRPr="00CF7104">
        <w:rPr>
          <w:rFonts w:eastAsia="Times New Roman"/>
          <w:bCs/>
          <w:color w:val="002060"/>
          <w:kern w:val="0"/>
          <w14:ligatures w14:val="none"/>
        </w:rPr>
        <w:t xml:space="preserve"> in un’ottica di vero “orientamento” futuro nonché di apprendimento fuori dalla consueta e spesso banale aula scolastica. Il confronto tra pari e con gli esperti disciplinari ha permesso di acquisire la consapevolezza che quanto si apprende nei banchi scolastici, da un lato dà davvero l’accesso ad un sapere concreto e ricco di prospettive variegate e utili per il proprio avvenire, dall’altro offre scenari e inclinazioni che altrimenti rimarrebbero in ombra. </w:t>
      </w:r>
    </w:p>
    <w:p w14:paraId="7396B0B1" w14:textId="19485196" w:rsidR="00944B5F" w:rsidRPr="00CF7104" w:rsidRDefault="00944B5F" w:rsidP="00944B5F">
      <w:pPr>
        <w:spacing w:after="0"/>
        <w:jc w:val="both"/>
        <w:rPr>
          <w:color w:val="002060"/>
          <w:kern w:val="0"/>
          <w14:ligatures w14:val="none"/>
        </w:rPr>
      </w:pPr>
      <w:r w:rsidRPr="003E6F64">
        <w:rPr>
          <w:rFonts w:eastAsia="Times New Roman"/>
          <w:bCs/>
          <w:color w:val="002060"/>
          <w:kern w:val="0"/>
          <w14:ligatures w14:val="none"/>
        </w:rPr>
        <w:lastRenderedPageBreak/>
        <w:t>Al termine delle varie attività è stato somministrato agli studenti</w:t>
      </w:r>
      <w:r w:rsidRPr="00CF7104">
        <w:rPr>
          <w:rFonts w:eastAsia="Times New Roman"/>
          <w:bCs/>
          <w:color w:val="002060"/>
          <w:kern w:val="0"/>
          <w14:ligatures w14:val="none"/>
        </w:rPr>
        <w:t xml:space="preserve"> un</w:t>
      </w:r>
      <w:r w:rsidRPr="003E6F64">
        <w:rPr>
          <w:rFonts w:eastAsia="Times New Roman"/>
          <w:bCs/>
          <w:color w:val="002060"/>
          <w:kern w:val="0"/>
          <w14:ligatures w14:val="none"/>
        </w:rPr>
        <w:t xml:space="preserve"> questionario di gradimento, avente l’obiettivo di valutare la validità dell’offerta proposta</w:t>
      </w:r>
      <w:r w:rsidR="00EA54B0">
        <w:rPr>
          <w:rFonts w:eastAsia="Times New Roman"/>
          <w:bCs/>
          <w:color w:val="002060"/>
          <w:kern w:val="0"/>
          <w14:ligatures w14:val="none"/>
        </w:rPr>
        <w:t>,</w:t>
      </w:r>
      <w:r w:rsidRPr="003E6F64">
        <w:rPr>
          <w:rFonts w:eastAsia="Times New Roman"/>
          <w:bCs/>
          <w:color w:val="002060"/>
          <w:kern w:val="0"/>
          <w14:ligatures w14:val="none"/>
        </w:rPr>
        <w:t xml:space="preserve"> al fine di valutare punti di forza e criticità.</w:t>
      </w:r>
      <w:r w:rsidRPr="00CF7104">
        <w:rPr>
          <w:rFonts w:eastAsia="Times New Roman"/>
          <w:bCs/>
          <w:color w:val="002060"/>
          <w:kern w:val="0"/>
          <w14:ligatures w14:val="none"/>
        </w:rPr>
        <w:t xml:space="preserve"> Da un punto di vista strutturale ogni</w:t>
      </w:r>
      <w:r w:rsidRPr="00CF7104">
        <w:rPr>
          <w:color w:val="002060"/>
          <w:kern w:val="0"/>
          <w14:ligatures w14:val="none"/>
        </w:rPr>
        <w:t xml:space="preserve"> </w:t>
      </w:r>
      <w:r w:rsidRPr="00351ABB">
        <w:rPr>
          <w:i/>
          <w:iCs/>
          <w:color w:val="002060"/>
          <w:kern w:val="0"/>
          <w14:ligatures w14:val="none"/>
        </w:rPr>
        <w:t>workshop</w:t>
      </w:r>
      <w:r w:rsidRPr="00CF7104">
        <w:rPr>
          <w:color w:val="002060"/>
          <w:kern w:val="0"/>
          <w14:ligatures w14:val="none"/>
        </w:rPr>
        <w:t xml:space="preserve"> si è basato su un ciclo di incontri incentrati su una tematica guida, caratterizzati dall’alternanza tra teoria e applicazione pratica di quanto appreso (“bottega”). Ognuno ha avuto</w:t>
      </w:r>
      <w:r w:rsidR="00EA54B0">
        <w:rPr>
          <w:color w:val="002060"/>
          <w:kern w:val="0"/>
          <w14:ligatures w14:val="none"/>
        </w:rPr>
        <w:t>,</w:t>
      </w:r>
      <w:r w:rsidRPr="00CF7104">
        <w:rPr>
          <w:color w:val="002060"/>
          <w:kern w:val="0"/>
          <w14:ligatures w14:val="none"/>
        </w:rPr>
        <w:t xml:space="preserve"> quale momento conclusivo</w:t>
      </w:r>
      <w:r w:rsidR="00EA54B0">
        <w:rPr>
          <w:color w:val="002060"/>
          <w:kern w:val="0"/>
          <w14:ligatures w14:val="none"/>
        </w:rPr>
        <w:t>,</w:t>
      </w:r>
      <w:r w:rsidRPr="00CF7104">
        <w:rPr>
          <w:color w:val="002060"/>
          <w:kern w:val="0"/>
          <w14:ligatures w14:val="none"/>
        </w:rPr>
        <w:t xml:space="preserve"> la produzione o la presentazione di un elaborato</w:t>
      </w:r>
      <w:r w:rsidR="00EA54B0">
        <w:rPr>
          <w:color w:val="002060"/>
          <w:kern w:val="0"/>
          <w14:ligatures w14:val="none"/>
        </w:rPr>
        <w:t>,</w:t>
      </w:r>
      <w:r w:rsidRPr="00CF7104">
        <w:rPr>
          <w:color w:val="002060"/>
          <w:kern w:val="0"/>
          <w14:ligatures w14:val="none"/>
        </w:rPr>
        <w:t xml:space="preserve"> che è stato esaminato da un’apposita commissione, che ne ha evidenziato punti di forza e criticità, e i lavori ritenuti più meritevoli hanno ricevuto il plauso dei docenti universitari. Giusto per promemoria, questi i titoli: </w:t>
      </w:r>
    </w:p>
    <w:p w14:paraId="77057C0B" w14:textId="208745C4" w:rsidR="00944B5F" w:rsidRPr="00CF7104" w:rsidRDefault="00B63789" w:rsidP="00944B5F">
      <w:pPr>
        <w:pStyle w:val="Paragrafoelenco"/>
        <w:numPr>
          <w:ilvl w:val="0"/>
          <w:numId w:val="2"/>
        </w:numPr>
        <w:jc w:val="both"/>
        <w:rPr>
          <w:color w:val="002060"/>
          <w:kern w:val="0"/>
          <w14:ligatures w14:val="none"/>
        </w:rPr>
      </w:pPr>
      <w:r>
        <w:rPr>
          <w:b/>
          <w:color w:val="002060"/>
        </w:rPr>
        <w:t>Pasoli</w:t>
      </w:r>
      <w:r w:rsidR="00944B5F" w:rsidRPr="00CF7104">
        <w:rPr>
          <w:b/>
          <w:color w:val="002060"/>
        </w:rPr>
        <w:t xml:space="preserve">ni </w:t>
      </w:r>
      <w:r>
        <w:rPr>
          <w:b/>
          <w:color w:val="002060"/>
        </w:rPr>
        <w:t xml:space="preserve">e </w:t>
      </w:r>
      <w:r w:rsidRPr="00B63789">
        <w:rPr>
          <w:b/>
          <w:i/>
          <w:iCs/>
          <w:color w:val="002060"/>
        </w:rPr>
        <w:t>La Divina Mimesis</w:t>
      </w:r>
      <w:r w:rsidR="00944B5F" w:rsidRPr="00CF7104">
        <w:rPr>
          <w:b/>
          <w:color w:val="002060"/>
        </w:rPr>
        <w:t xml:space="preserve"> </w:t>
      </w:r>
    </w:p>
    <w:p w14:paraId="2874BB0B" w14:textId="77777777" w:rsidR="00944B5F" w:rsidRPr="00CF7104" w:rsidRDefault="00944B5F" w:rsidP="00944B5F">
      <w:pPr>
        <w:pStyle w:val="Paragrafoelenco"/>
        <w:numPr>
          <w:ilvl w:val="0"/>
          <w:numId w:val="2"/>
        </w:numPr>
        <w:jc w:val="both"/>
        <w:rPr>
          <w:color w:val="002060"/>
          <w:kern w:val="0"/>
          <w14:ligatures w14:val="none"/>
        </w:rPr>
      </w:pPr>
      <w:r w:rsidRPr="00CF7104">
        <w:rPr>
          <w:b/>
          <w:bCs/>
          <w:color w:val="002060"/>
        </w:rPr>
        <w:t>Archeologia: raccontare il territorio</w:t>
      </w:r>
    </w:p>
    <w:p w14:paraId="21385104" w14:textId="4B70F2D7" w:rsidR="00944B5F" w:rsidRPr="00CF7104" w:rsidRDefault="00944B5F" w:rsidP="00944B5F">
      <w:pPr>
        <w:pStyle w:val="Paragrafoelenco"/>
        <w:numPr>
          <w:ilvl w:val="0"/>
          <w:numId w:val="2"/>
        </w:numPr>
        <w:spacing w:after="0"/>
        <w:jc w:val="both"/>
        <w:rPr>
          <w:rFonts w:eastAsia="Times New Roman"/>
          <w:b/>
          <w:bCs/>
          <w:color w:val="002060"/>
        </w:rPr>
      </w:pPr>
      <w:r w:rsidRPr="00CF7104">
        <w:rPr>
          <w:rFonts w:eastAsia="Times New Roman"/>
          <w:b/>
          <w:bCs/>
          <w:color w:val="002060"/>
        </w:rPr>
        <w:t xml:space="preserve">I luoghi d’arte a portata di mano: </w:t>
      </w:r>
      <w:r w:rsidRPr="00CF7104">
        <w:rPr>
          <w:rFonts w:eastAsia="Times New Roman"/>
          <w:b/>
          <w:bCs/>
          <w:i/>
          <w:iCs/>
          <w:color w:val="002060"/>
        </w:rPr>
        <w:t>promozione e sostegno di esperienze educative in tema di ambiente, beni storico-artistici e architettonici</w:t>
      </w:r>
      <w:r w:rsidRPr="00CF7104">
        <w:rPr>
          <w:rFonts w:eastAsia="Times New Roman"/>
          <w:b/>
          <w:bCs/>
          <w:color w:val="002060"/>
        </w:rPr>
        <w:t xml:space="preserve"> </w:t>
      </w:r>
    </w:p>
    <w:p w14:paraId="0888CCE4" w14:textId="77777777" w:rsidR="00944B5F" w:rsidRPr="00B63789" w:rsidRDefault="00944B5F" w:rsidP="00944B5F">
      <w:pPr>
        <w:pStyle w:val="Paragrafoelenco"/>
        <w:numPr>
          <w:ilvl w:val="0"/>
          <w:numId w:val="2"/>
        </w:numPr>
        <w:jc w:val="both"/>
        <w:rPr>
          <w:color w:val="002060"/>
          <w:kern w:val="0"/>
          <w14:ligatures w14:val="none"/>
        </w:rPr>
      </w:pPr>
      <w:r w:rsidRPr="00CF7104">
        <w:rPr>
          <w:rFonts w:eastAsia="Times New Roman"/>
          <w:b/>
          <w:bCs/>
          <w:color w:val="002060"/>
        </w:rPr>
        <w:t>A scuola con le STEM</w:t>
      </w:r>
    </w:p>
    <w:p w14:paraId="76026EDB" w14:textId="6273C968" w:rsidR="00EA54B0" w:rsidRPr="00095DAF" w:rsidRDefault="00B63789" w:rsidP="00944B5F">
      <w:pPr>
        <w:pStyle w:val="Paragrafoelenco"/>
        <w:numPr>
          <w:ilvl w:val="0"/>
          <w:numId w:val="2"/>
        </w:numPr>
        <w:jc w:val="both"/>
        <w:rPr>
          <w:color w:val="002060"/>
          <w:kern w:val="0"/>
          <w14:ligatures w14:val="none"/>
        </w:rPr>
      </w:pPr>
      <w:r w:rsidRPr="00095DAF">
        <w:rPr>
          <w:rFonts w:eastAsia="Times New Roman"/>
          <w:b/>
          <w:bCs/>
          <w:color w:val="002060"/>
        </w:rPr>
        <w:t>Didattica del latino</w:t>
      </w:r>
      <w:r w:rsidR="00420152">
        <w:rPr>
          <w:rFonts w:eastAsia="Times New Roman"/>
          <w:b/>
          <w:bCs/>
          <w:color w:val="002060"/>
        </w:rPr>
        <w:t xml:space="preserve"> </w:t>
      </w:r>
    </w:p>
    <w:p w14:paraId="4E6EC484" w14:textId="1FC6B28B" w:rsidR="00EA54B0" w:rsidRDefault="00DE510E" w:rsidP="00944B5F">
      <w:pPr>
        <w:jc w:val="both"/>
        <w:rPr>
          <w:color w:val="002060"/>
          <w:kern w:val="0"/>
          <w14:ligatures w14:val="none"/>
        </w:rPr>
      </w:pPr>
      <w:r>
        <w:rPr>
          <w:color w:val="002060"/>
          <w:kern w:val="0"/>
          <w14:ligatures w14:val="none"/>
        </w:rPr>
        <w:t>È</w:t>
      </w:r>
      <w:r w:rsidR="005133A5">
        <w:rPr>
          <w:color w:val="002060"/>
          <w:kern w:val="0"/>
          <w14:ligatures w14:val="none"/>
        </w:rPr>
        <w:t xml:space="preserve"> d’uopo sottolineare qualche </w:t>
      </w:r>
      <w:r w:rsidR="005133A5" w:rsidRPr="00A3593D">
        <w:rPr>
          <w:b/>
          <w:bCs/>
          <w:color w:val="002060"/>
          <w:kern w:val="0"/>
          <w14:ligatures w14:val="none"/>
        </w:rPr>
        <w:t>suggerimento</w:t>
      </w:r>
      <w:r w:rsidR="005133A5">
        <w:rPr>
          <w:color w:val="002060"/>
          <w:kern w:val="0"/>
          <w14:ligatures w14:val="none"/>
        </w:rPr>
        <w:t xml:space="preserve"> per la prossima sperimentazione che mi auguro possa nuovamente vederci coinvolti, sempre in un’ottica di una scuola attenta al futuro delle nuove generazioni in una dimensione internazionale.</w:t>
      </w:r>
      <w:r>
        <w:rPr>
          <w:color w:val="002060"/>
          <w:kern w:val="0"/>
          <w14:ligatures w14:val="none"/>
        </w:rPr>
        <w:t xml:space="preserve"> Questa la mia idea futura: una sperimentazione</w:t>
      </w:r>
      <w:r w:rsidR="00E84A68">
        <w:rPr>
          <w:color w:val="002060"/>
          <w:kern w:val="0"/>
          <w14:ligatures w14:val="none"/>
        </w:rPr>
        <w:t xml:space="preserve"> con una curvatura più </w:t>
      </w:r>
      <w:r w:rsidR="00095DAF">
        <w:rPr>
          <w:color w:val="002060"/>
          <w:kern w:val="0"/>
          <w14:ligatures w14:val="none"/>
        </w:rPr>
        <w:t>internazionale, che</w:t>
      </w:r>
      <w:r>
        <w:rPr>
          <w:color w:val="002060"/>
          <w:kern w:val="0"/>
          <w14:ligatures w14:val="none"/>
        </w:rPr>
        <w:t xml:space="preserve"> miri a sviluppare e a incrementare competenze linguistiche certificate e accreditate da enti sia in lingua inglese che di altra lingua (spagnolo e/o francese)</w:t>
      </w:r>
      <w:r w:rsidR="00E84A68">
        <w:rPr>
          <w:color w:val="002060"/>
          <w:kern w:val="0"/>
          <w14:ligatures w14:val="none"/>
        </w:rPr>
        <w:t xml:space="preserve">, </w:t>
      </w:r>
      <w:r w:rsidR="00853B08">
        <w:rPr>
          <w:color w:val="002060"/>
          <w:kern w:val="0"/>
          <w14:ligatures w14:val="none"/>
        </w:rPr>
        <w:t>con applicazione nel settore biomedico</w:t>
      </w:r>
      <w:r w:rsidR="00E84A68">
        <w:rPr>
          <w:color w:val="002060"/>
          <w:kern w:val="0"/>
          <w14:ligatures w14:val="none"/>
        </w:rPr>
        <w:t>, a costo di rivedere l’intero assetto orario.</w:t>
      </w:r>
      <w:r w:rsidR="00853B08">
        <w:rPr>
          <w:color w:val="002060"/>
          <w:kern w:val="0"/>
          <w14:ligatures w14:val="none"/>
        </w:rPr>
        <w:t xml:space="preserve"> </w:t>
      </w:r>
      <w:r w:rsidR="00E84A68">
        <w:rPr>
          <w:color w:val="002060"/>
          <w:kern w:val="0"/>
          <w14:ligatures w14:val="none"/>
        </w:rPr>
        <w:t xml:space="preserve"> </w:t>
      </w:r>
    </w:p>
    <w:p w14:paraId="43546F8D" w14:textId="67C3D65A" w:rsidR="00EA54B0" w:rsidRDefault="00095DAF" w:rsidP="00944B5F">
      <w:pPr>
        <w:jc w:val="both"/>
        <w:rPr>
          <w:color w:val="002060"/>
          <w:kern w:val="0"/>
          <w14:ligatures w14:val="none"/>
        </w:rPr>
      </w:pPr>
      <w:r>
        <w:rPr>
          <w:color w:val="002060"/>
          <w:kern w:val="0"/>
          <w14:ligatures w14:val="none"/>
        </w:rPr>
        <w:t xml:space="preserve">A conclusione di questo incarico </w:t>
      </w:r>
      <w:r w:rsidR="00A3593D">
        <w:rPr>
          <w:color w:val="002060"/>
          <w:kern w:val="0"/>
          <w14:ligatures w14:val="none"/>
        </w:rPr>
        <w:t>mi preme</w:t>
      </w:r>
      <w:r>
        <w:rPr>
          <w:color w:val="002060"/>
          <w:kern w:val="0"/>
          <w14:ligatures w14:val="none"/>
        </w:rPr>
        <w:t xml:space="preserve"> rivolgere un ringraziamento di cuore alla Dirigente, per aver </w:t>
      </w:r>
      <w:r w:rsidR="00A3593D">
        <w:rPr>
          <w:color w:val="002060"/>
          <w:kern w:val="0"/>
          <w14:ligatures w14:val="none"/>
        </w:rPr>
        <w:t>sempre creduto</w:t>
      </w:r>
      <w:r>
        <w:rPr>
          <w:color w:val="002060"/>
          <w:kern w:val="0"/>
          <w14:ligatures w14:val="none"/>
        </w:rPr>
        <w:t xml:space="preserve">, sostenuto, </w:t>
      </w:r>
      <w:r w:rsidR="00A3593D">
        <w:rPr>
          <w:color w:val="002060"/>
          <w:kern w:val="0"/>
          <w14:ligatures w14:val="none"/>
        </w:rPr>
        <w:t>supportato in</w:t>
      </w:r>
      <w:r w:rsidR="00A3593D" w:rsidRPr="00A3593D">
        <w:rPr>
          <w:i/>
          <w:iCs/>
          <w:color w:val="002060"/>
          <w:kern w:val="0"/>
          <w14:ligatures w14:val="none"/>
        </w:rPr>
        <w:t xml:space="preserve"> primis</w:t>
      </w:r>
      <w:r w:rsidR="00A3593D">
        <w:rPr>
          <w:color w:val="002060"/>
          <w:kern w:val="0"/>
          <w14:ligatures w14:val="none"/>
        </w:rPr>
        <w:t xml:space="preserve"> </w:t>
      </w:r>
      <w:r>
        <w:rPr>
          <w:color w:val="002060"/>
          <w:kern w:val="0"/>
          <w14:ligatures w14:val="none"/>
        </w:rPr>
        <w:t xml:space="preserve">questo indirizzo, concedendomi </w:t>
      </w:r>
      <w:r w:rsidR="00A3593D">
        <w:rPr>
          <w:color w:val="002060"/>
          <w:kern w:val="0"/>
          <w14:ligatures w14:val="none"/>
        </w:rPr>
        <w:t>fiducia e collaborazione per questa strada che non è stata sempre facile da percorrere e</w:t>
      </w:r>
      <w:r w:rsidR="00853B08">
        <w:rPr>
          <w:color w:val="002060"/>
          <w:kern w:val="0"/>
          <w14:ligatures w14:val="none"/>
        </w:rPr>
        <w:t xml:space="preserve"> a</w:t>
      </w:r>
      <w:r w:rsidR="00A3593D">
        <w:rPr>
          <w:color w:val="002060"/>
          <w:kern w:val="0"/>
          <w14:ligatures w14:val="none"/>
        </w:rPr>
        <w:t xml:space="preserve"> quanti hanno collaborato con me nella riuscita di questa sfida.</w:t>
      </w:r>
    </w:p>
    <w:p w14:paraId="0328F06B" w14:textId="5D4536CE" w:rsidR="00944B5F" w:rsidRDefault="00944B5F" w:rsidP="00944B5F">
      <w:pPr>
        <w:jc w:val="both"/>
        <w:rPr>
          <w:color w:val="002060"/>
          <w:kern w:val="0"/>
          <w14:ligatures w14:val="none"/>
        </w:rPr>
      </w:pPr>
      <w:r w:rsidRPr="00CF7104">
        <w:rPr>
          <w:color w:val="002060"/>
          <w:kern w:val="0"/>
          <w14:ligatures w14:val="none"/>
        </w:rPr>
        <w:t>Lavorare con e per i ragazzi è sempre stimolante e arricchente, pur con qualche difficoltà lungo il cammino; mi auguro di proseguire a farlo e di migliorare con esperienze nuove questo incarico.</w:t>
      </w:r>
    </w:p>
    <w:p w14:paraId="549BE514" w14:textId="5A47F4EC" w:rsidR="00944B5F" w:rsidRPr="00CF7104" w:rsidRDefault="00944B5F" w:rsidP="00944B5F">
      <w:pPr>
        <w:jc w:val="both"/>
        <w:rPr>
          <w:color w:val="002060"/>
          <w:kern w:val="0"/>
          <w14:ligatures w14:val="none"/>
        </w:rPr>
      </w:pPr>
      <w:r w:rsidRPr="00CF7104">
        <w:rPr>
          <w:color w:val="002060"/>
          <w:kern w:val="0"/>
          <w14:ligatures w14:val="none"/>
        </w:rPr>
        <w:t xml:space="preserve">Cerignola, </w:t>
      </w:r>
      <w:r>
        <w:rPr>
          <w:color w:val="002060"/>
          <w:kern w:val="0"/>
          <w14:ligatures w14:val="none"/>
        </w:rPr>
        <w:t>11</w:t>
      </w:r>
      <w:r w:rsidRPr="00CF7104">
        <w:rPr>
          <w:color w:val="002060"/>
          <w:kern w:val="0"/>
          <w14:ligatures w14:val="none"/>
        </w:rPr>
        <w:t>/06/202</w:t>
      </w:r>
      <w:r>
        <w:rPr>
          <w:color w:val="002060"/>
          <w:kern w:val="0"/>
          <w14:ligatures w14:val="none"/>
        </w:rPr>
        <w:t>5</w:t>
      </w:r>
      <w:r w:rsidRPr="00CF7104">
        <w:rPr>
          <w:color w:val="002060"/>
          <w:kern w:val="0"/>
          <w14:ligatures w14:val="none"/>
        </w:rPr>
        <w:t xml:space="preserve">                                                                LA DOCENTE</w:t>
      </w:r>
    </w:p>
    <w:p w14:paraId="397A41F1" w14:textId="77777777" w:rsidR="00011769" w:rsidRDefault="00944B5F" w:rsidP="00944B5F">
      <w:pPr>
        <w:jc w:val="both"/>
        <w:rPr>
          <w:color w:val="002060"/>
          <w:kern w:val="0"/>
          <w14:ligatures w14:val="none"/>
        </w:rPr>
      </w:pPr>
      <w:r w:rsidRPr="00CF7104">
        <w:rPr>
          <w:color w:val="002060"/>
          <w:kern w:val="0"/>
          <w14:ligatures w14:val="none"/>
        </w:rPr>
        <w:t xml:space="preserve">                                                          </w:t>
      </w:r>
    </w:p>
    <w:p w14:paraId="7BB0108C" w14:textId="1287E822" w:rsidR="00944B5F" w:rsidRPr="000C0C62" w:rsidRDefault="00944B5F" w:rsidP="00944B5F">
      <w:pPr>
        <w:jc w:val="both"/>
        <w:rPr>
          <w:i/>
          <w:iCs/>
          <w:color w:val="002060"/>
          <w:kern w:val="0"/>
          <w14:ligatures w14:val="none"/>
        </w:rPr>
      </w:pPr>
      <w:r w:rsidRPr="00CF7104">
        <w:rPr>
          <w:color w:val="002060"/>
          <w:kern w:val="0"/>
          <w14:ligatures w14:val="none"/>
        </w:rPr>
        <w:t xml:space="preserve">  </w:t>
      </w:r>
      <w:r w:rsidR="00011769">
        <w:rPr>
          <w:color w:val="002060"/>
          <w:kern w:val="0"/>
          <w14:ligatures w14:val="none"/>
        </w:rPr>
        <w:t xml:space="preserve">                                                           </w:t>
      </w:r>
      <w:r w:rsidRPr="00CF7104">
        <w:rPr>
          <w:color w:val="002060"/>
          <w:kern w:val="0"/>
          <w14:ligatures w14:val="none"/>
        </w:rPr>
        <w:t xml:space="preserve">                            F.to </w:t>
      </w:r>
      <w:r w:rsidRPr="000C0C62">
        <w:rPr>
          <w:i/>
          <w:iCs/>
          <w:color w:val="002060"/>
          <w:kern w:val="0"/>
          <w14:ligatures w14:val="none"/>
        </w:rPr>
        <w:t>Vita Aurora Quarticelli</w:t>
      </w:r>
    </w:p>
    <w:p w14:paraId="2C77CB5D" w14:textId="77777777" w:rsidR="00944B5F" w:rsidRPr="00CF7104" w:rsidRDefault="00944B5F" w:rsidP="00944B5F">
      <w:pPr>
        <w:spacing w:after="0" w:line="240" w:lineRule="auto"/>
        <w:jc w:val="both"/>
        <w:rPr>
          <w:color w:val="002060"/>
          <w:kern w:val="0"/>
          <w14:ligatures w14:val="none"/>
        </w:rPr>
      </w:pPr>
    </w:p>
    <w:p w14:paraId="44F9BC48" w14:textId="77777777" w:rsidR="005B77F7" w:rsidRDefault="005B77F7"/>
    <w:p w14:paraId="0F691906" w14:textId="77777777" w:rsidR="005B77F7" w:rsidRDefault="005B77F7"/>
    <w:p w14:paraId="20CB9583" w14:textId="77777777" w:rsidR="005B77F7" w:rsidRDefault="005B77F7"/>
    <w:p w14:paraId="28D3E69C" w14:textId="21152748" w:rsidR="005B77F7" w:rsidRDefault="005B77F7">
      <w:r>
        <w:rPr>
          <w:noProof/>
        </w:rPr>
        <w:drawing>
          <wp:inline distT="0" distB="0" distL="0" distR="0" wp14:anchorId="4390A6AF" wp14:editId="3D338DAB">
            <wp:extent cx="6048375" cy="466725"/>
            <wp:effectExtent l="0" t="0" r="0" b="0"/>
            <wp:docPr id="9942655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77F7" w:rsidSect="00A92BE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DC690B"/>
    <w:multiLevelType w:val="hybridMultilevel"/>
    <w:tmpl w:val="137824C6"/>
    <w:lvl w:ilvl="0" w:tplc="10D4045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785813"/>
    <w:multiLevelType w:val="hybridMultilevel"/>
    <w:tmpl w:val="2B220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6307927">
    <w:abstractNumId w:val="0"/>
  </w:num>
  <w:num w:numId="2" w16cid:durableId="20430502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3B7416"/>
    <w:rsid w:val="00011769"/>
    <w:rsid w:val="00017D9C"/>
    <w:rsid w:val="00035D4E"/>
    <w:rsid w:val="00095DAF"/>
    <w:rsid w:val="000C0C62"/>
    <w:rsid w:val="000D125C"/>
    <w:rsid w:val="00101166"/>
    <w:rsid w:val="0019396A"/>
    <w:rsid w:val="001D7ADC"/>
    <w:rsid w:val="00273859"/>
    <w:rsid w:val="002D7EDF"/>
    <w:rsid w:val="00341F5E"/>
    <w:rsid w:val="00351ABB"/>
    <w:rsid w:val="00394ABD"/>
    <w:rsid w:val="003B7416"/>
    <w:rsid w:val="003C7248"/>
    <w:rsid w:val="003D7D46"/>
    <w:rsid w:val="003F1316"/>
    <w:rsid w:val="00403D80"/>
    <w:rsid w:val="00420152"/>
    <w:rsid w:val="00470D9C"/>
    <w:rsid w:val="004D0097"/>
    <w:rsid w:val="005133A5"/>
    <w:rsid w:val="005B77F7"/>
    <w:rsid w:val="005F572B"/>
    <w:rsid w:val="0066424C"/>
    <w:rsid w:val="006C11EB"/>
    <w:rsid w:val="006C7260"/>
    <w:rsid w:val="007479BA"/>
    <w:rsid w:val="007B7696"/>
    <w:rsid w:val="007E1857"/>
    <w:rsid w:val="007F67C2"/>
    <w:rsid w:val="00843B7E"/>
    <w:rsid w:val="00853B08"/>
    <w:rsid w:val="008D4583"/>
    <w:rsid w:val="00944B5F"/>
    <w:rsid w:val="00975CD4"/>
    <w:rsid w:val="00A3593D"/>
    <w:rsid w:val="00A92BEE"/>
    <w:rsid w:val="00AA5B54"/>
    <w:rsid w:val="00B54264"/>
    <w:rsid w:val="00B63789"/>
    <w:rsid w:val="00B757C6"/>
    <w:rsid w:val="00B951A3"/>
    <w:rsid w:val="00BB3192"/>
    <w:rsid w:val="00C56984"/>
    <w:rsid w:val="00D70395"/>
    <w:rsid w:val="00DE510E"/>
    <w:rsid w:val="00E84A68"/>
    <w:rsid w:val="00EA54B0"/>
    <w:rsid w:val="00FA4D44"/>
    <w:rsid w:val="00FC41F2"/>
    <w:rsid w:val="00FE0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0A4D9"/>
  <w15:chartTrackingRefBased/>
  <w15:docId w15:val="{E06A1490-B0AE-438E-8927-6F32E26FB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92BEE"/>
  </w:style>
  <w:style w:type="paragraph" w:styleId="Titolo1">
    <w:name w:val="heading 1"/>
    <w:basedOn w:val="Normale"/>
    <w:next w:val="Normale"/>
    <w:link w:val="Titolo1Carattere"/>
    <w:uiPriority w:val="9"/>
    <w:qFormat/>
    <w:rsid w:val="003B74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B74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B741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B741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B741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B741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B741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B741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B741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B741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B74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B7416"/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B7416"/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B7416"/>
    <w:rPr>
      <w:rFonts w:asciiTheme="minorHAnsi" w:eastAsiaTheme="majorEastAsia" w:hAnsiTheme="minorHAnsi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B741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B741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B741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B741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B74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B74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B741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B741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B74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B741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B741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B7416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B741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B7416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B7416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1203</Words>
  <Characters>6859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Quarticelli</dc:creator>
  <cp:keywords/>
  <dc:description/>
  <cp:lastModifiedBy>Aurora Quarticelli</cp:lastModifiedBy>
  <cp:revision>49</cp:revision>
  <dcterms:created xsi:type="dcterms:W3CDTF">2025-06-11T15:18:00Z</dcterms:created>
  <dcterms:modified xsi:type="dcterms:W3CDTF">2025-06-12T05:35:00Z</dcterms:modified>
</cp:coreProperties>
</file>